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厦门市卫生健康委员会(厦门市医用设备集中采购工作专班)发药机统招分签采购项目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TZFQXM-2025--350201-00015[2025]00664</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[350201]HC[GK]2025031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厦门市卫生健康委员会</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厦门市华沧采购招标有限公司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2025年09月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厦门市华沧采购招标有限公司</w:t>
      </w:r>
      <w:r>
        <w:rPr>
          <w:rFonts w:ascii="仿宋_GB2312" w:hAnsi="仿宋_GB2312" w:cs="仿宋_GB2312" w:eastAsia="仿宋_GB2312"/>
        </w:rPr>
        <w:t xml:space="preserve"> 采用公开招标方式组织 </w:t>
      </w:r>
      <w:r>
        <w:rPr>
          <w:rFonts w:ascii="仿宋_GB2312" w:hAnsi="仿宋_GB2312" w:cs="仿宋_GB2312" w:eastAsia="仿宋_GB2312"/>
        </w:rPr>
        <w:t>厦门市卫生健康委员会(厦门市医用设备集中采购工作专班)发药机统招分签采购项目</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TZFQXM-2025--350201-00015[2025]00664</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[350201]HC[GK]2025031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本项目不允许进口</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按照《关于调整优化节能产品、环境标志产品政府采购执行机制的通知》财库〔2019〕9号、《市场监管总局关于发布参与实施政府采购节能产品、环境标志产品认证机构名录的公告》（2019年第16号）以及最新的《节能产品政府采购品目清单》等规定执行。</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按照《关于调整优化节能产品、环境标志产品政府采购执行机制的通知》财库〔2019〕9号、《市场监管总局关于发布参与实施政府采购节能产品、环境标志产品认证机构名录的公告》（2019年第16号）以及最新的《环境标志产品政府采购品目清单》等规定执行。</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jc w:val="left"/>
      </w:pPr>
      <w:r>
        <w:rPr>
          <w:rFonts w:ascii="仿宋_GB2312" w:hAnsi="仿宋_GB2312" w:cs="仿宋_GB2312" w:eastAsia="仿宋_GB2312"/>
        </w:rPr>
        <w:t>采购包2：设置专门采购包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投标人采用资格承诺制。采用资格承诺制的投标人，应当根据投标(响应)格式文件要求提供资格承诺函，无需提供《中华人民共和国政府采购法实施条例》第十七条第一款规定的一般资格条件证明材料；资格承诺函不符合招标文件要求的，视为未按照招标文件规定提交投标人的资格及资信证明文件，按资格审查不合格处理。②采购项目有特殊资格要求的，投标人还应按要求提供相应的证明材料。③若投标人未选择采用资格承诺制的，应按照招标文件要求提供一般资格条件证明材料。若投标人提供资信证明的，则须提供2024年1月1日以来开户银行出具的资信证明扫描件(若资信证明备注有效期的，必须在有效期内，否则为无效资信证明)。</w:t>
            </w:r>
          </w:p>
        </w:tc>
      </w:tr>
      <w:tr>
        <w:tc>
          <w:tcPr>
            <w:tcW w:type="dxa" w:w="3692"/>
          </w:tcPr>
          <w:p>
            <w:pPr>
              <w:pStyle w:val="null3"/>
              <w:jc w:val="left"/>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left"/>
            </w:pPr>
            <w:r>
              <w:rPr>
                <w:rFonts w:ascii="仿宋_GB2312" w:hAnsi="仿宋_GB2312" w:cs="仿宋_GB2312" w:eastAsia="仿宋_GB2312"/>
              </w:rPr>
              <w:t>依据《财政部关于在政府采购活动中查询及使用信用记录有关问题的通知》（财库〔2016〕125号）规定及厦门市财政局《关于进一步规范供应商信用记录查询使用的通知》（厦财采〔2020〕14号）的规定执行，具体要求如下：1、信用信息查询渠道：资格审查小组通过“信用中国”网站（www.creditchina.gov.cn）、中国政府采购网（www.ccgp.gov.cn）、“信用中国（福建厦门）”网站（credit.xm.gov.cn）查询所有投标人的信用信息。2、截止时点：查询本项目投标截止时间点前三年内的信用信息。 3、查询记录和证据留存方式：资格审查小组将查询结果网页打印后随采购文件一并存档。 4、信用信息的使用规则： （1）查询结果显示存在不良信用记录（包含列入失信被执行人、重大税收违法失信主体、政府采购严重违法失信行为记录名单，且相关信用惩戒期限未满及其他不符合《中华人民共和国政府采购法》第二十二条规定条件）的投标人，其资格审查不合格。（2）联合体参加政府采购活动的，资格审查小组将对所有联合体成员进行信用记录查询，联合体成员存在不良信用记录的，视同联合体存在不良信用记录，联合体资格审查不合格。（3）因查询渠道网站原因导致查无投标人信息的，不认定投标人资格审查不合格；评审结束后，通过其他渠道发现投标人存在不良信用记录的，不认定为资格审查错误，将依照有关规定进行调查处理。（4）投标人无需提供信用信息查询结果。若投标人自行提供查询结果的，仍以资格审查小组查询结果为准。</w:t>
            </w:r>
          </w:p>
        </w:tc>
      </w:tr>
      <w:tr>
        <w:tc>
          <w:tcPr>
            <w:tcW w:type="dxa" w:w="3692"/>
          </w:tcPr>
          <w:p>
            <w:pPr>
              <w:pStyle w:val="null3"/>
              <w:jc w:val="left"/>
            </w:pPr>
            <w:r>
              <w:rPr>
                <w:rFonts w:ascii="仿宋_GB2312" w:hAnsi="仿宋_GB2312" w:cs="仿宋_GB2312" w:eastAsia="仿宋_GB2312"/>
              </w:rPr>
              <w:t>采购人根据采购项目的要求规定的特定条件</w:t>
            </w:r>
          </w:p>
        </w:tc>
        <w:tc>
          <w:tcPr>
            <w:tcW w:type="dxa" w:w="4614"/>
          </w:tcPr>
          <w:p>
            <w:pPr>
              <w:pStyle w:val="null3"/>
              <w:jc w:val="left"/>
            </w:pPr>
            <w:r>
              <w:rPr>
                <w:rFonts w:ascii="仿宋_GB2312" w:hAnsi="仿宋_GB2312" w:cs="仿宋_GB2312" w:eastAsia="仿宋_GB2312"/>
              </w:rPr>
              <w:t>1.投标人须根据所投的医疗器械分类，提供以下材料：第一类医疗器械:投标人应提供投标产品的“第-类医疗器械备案凭证”及“第一类医疗器械备案信息表”扫描件。第二类、第三类医疗器械提供相应的《医疗器械注册证》扫描件(若医疗器械注册证上未体现投标产品型号规格的，则应同时提供附页扫描件)。 2.投标人所投的医疗器械若含有第二类医疗器械的，投标人应提供其《医疗器械经营备案凭证》或《食品药品生产经营许可证》扫描件；若含有第三类医疗器械的，供应商应提供其《医疗器械经营许可证》或《食品药品生产经营许可证》扫描件。投标人为投标产品的生产企业，应在投标文件中提供所投第一类医疗器械的“医疗器械生产备案凭证”，第二、三类医疗器械的“有效期内的医疗器械生产许可证”扫描件。所有证件必须真实有效。 注：本项目未办理进口产品论证，不允许进口产品参与投标。投标人所投配置清单设备中，产品属于医疗器械，须按照1、2点要求提供相关材料。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1）本采购包落实中小企业扶持政策要求的方式：整体专门面向中小企业采购。（2）投标人须按招标文件第七章附件格式要求提供中小企业声明函。（3）本项目属性为货物类，采购标的对应的中小企业划分标准所属行业为工业。</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投标人采用资格承诺制。采用资格承诺制的投标人，应当根据投标(响应)格式文件要求提供资格承诺函，无需提供《中华人民共和国政府采购法实施条例》第十七条第一款规定的一般资格条件证明材料；资格承诺函不符合招标文件要求的，视为未按照招标文件规定提交投标人的资格及资信证明文件，按资格审查不合格处理。②采购项目有特殊资格要求的，投标人还应按要求提供相应的证明材料。③若投标人未选择采用资格承诺制的，应按照招标文件要求提供一般资格条件证明材料。若投标人提供资信证明的，则须提供2024年1月1日以来开户银行出具的资信证明扫描件(若资信证明备注有效期的，必须在有效期内，否则为无效资信证明)。</w:t>
            </w:r>
          </w:p>
        </w:tc>
      </w:tr>
      <w:tr>
        <w:tc>
          <w:tcPr>
            <w:tcW w:type="dxa" w:w="3692"/>
          </w:tcPr>
          <w:p>
            <w:pPr>
              <w:pStyle w:val="null3"/>
              <w:jc w:val="left"/>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left"/>
            </w:pPr>
            <w:r>
              <w:rPr>
                <w:rFonts w:ascii="仿宋_GB2312" w:hAnsi="仿宋_GB2312" w:cs="仿宋_GB2312" w:eastAsia="仿宋_GB2312"/>
              </w:rPr>
              <w:t>依据《财政部关于在政府采购活动中查询及使用信用记录有关问题的通知》（财库〔2016〕125号）规定及厦门市财政局《关于进一步规范供应商信用记录查询使用的通知》（厦财采〔2020〕14号）的规定执行，具体要求如下：1、信用信息查询渠道：资格审查小组通过“信用中国”网站（www.creditchina.gov.cn）、中国政府采购网（www.ccgp.gov.cn）、“信用中国（福建厦门）”网站（credit.xm.gov.cn）查询所有投标人的信用信息。2、截止时点：查询本项目投标截止时间点前三年内的信用信息。 3、查询记录和证据留存方式：资格审查小组将查询结果网页打印后随采购文件一并存档。 4、信用信息的使用规则： （1）查询结果显示存在不良信用记录（包含列入失信被执行人、重大税收违法失信主体、政府采购严重违法失信行为记录名单，且相关信用惩戒期限未满及其他不符合《中华人民共和国政府采购法》第二十二条规定条件）的投标人，其资格审查不合格。（2）联合体参加政府采购活动的，资格审查小组将对所有联合体成员进行信用记录查询，联合体成员存在不良信用记录的，视同联合体存在不良信用记录，联合体资格审查不合格。（3）因查询渠道网站原因导致查无投标人信息的，不认定投标人资格审查不合格；评审结束后，通过其他渠道发现投标人存在不良信用记录的，不认定为资格审查错误，将依照有关规定进行调查处理。（4）投标人无需提供信用信息查询结果。若投标人自行提供查询结果的，仍以资格审查小组查询结果为准。</w:t>
            </w:r>
          </w:p>
        </w:tc>
      </w:tr>
      <w:tr>
        <w:tc>
          <w:tcPr>
            <w:tcW w:type="dxa" w:w="3692"/>
          </w:tcPr>
          <w:p>
            <w:pPr>
              <w:pStyle w:val="null3"/>
              <w:jc w:val="left"/>
            </w:pPr>
            <w:r>
              <w:rPr>
                <w:rFonts w:ascii="仿宋_GB2312" w:hAnsi="仿宋_GB2312" w:cs="仿宋_GB2312" w:eastAsia="仿宋_GB2312"/>
              </w:rPr>
              <w:t>采购人根据采购项目的要求规定的特定条件</w:t>
            </w:r>
          </w:p>
        </w:tc>
        <w:tc>
          <w:tcPr>
            <w:tcW w:type="dxa" w:w="4614"/>
          </w:tcPr>
          <w:p>
            <w:pPr>
              <w:pStyle w:val="null3"/>
              <w:jc w:val="left"/>
            </w:pPr>
            <w:r>
              <w:rPr>
                <w:rFonts w:ascii="仿宋_GB2312" w:hAnsi="仿宋_GB2312" w:cs="仿宋_GB2312" w:eastAsia="仿宋_GB2312"/>
              </w:rPr>
              <w:t>1.投标人须根据所投的医疗器械分类，提供以下材料：第一类医疗器械:投标人应提供投标产品的“第-类医疗器械备案凭证”及“第一类医疗器械备案信息表”扫描件。第二类、第三类医疗器械提供相应的《医疗器械注册证》扫描件(若医疗器械注册证上未体现投标产品型号规格的，则应同时提供附页扫描件)。 2.投标人所投的医疗器械若含有第二类医疗器械的，投标人应提供其《医疗器械经营备案凭证》或《食品药品生产经营许可证》扫描件；若含有第三类医疗器械的，供应商应提供其《医疗器械经营许可证》或《食品药品生产经营许可证》扫描件。投标人为投标产品的生产企业，应在投标文件中提供所投第一类医疗器械的“医疗器械生产备案凭证”，第二、三类医疗器械的“有效期内的医疗器械生产许可证”扫描件。所有证件必须真实有效。 注：本项目未办理进口产品论证，不允许进口产品参与投标。投标人所投配置清单设备中，产品属于医疗器械，须按照1、2点要求提供相关材料。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1）本采购包落实中小企业扶持政策要求的方式：整体专门面向中小企业采购。（2）投标人须按招标文件第七章附件格式要求提供中小企业声明函。（3）本项目属性为货物类，采购标的对应的中小企业划分标准所属行业为工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jc w:val="both"/>
      </w:pPr>
      <w:r>
        <w:rPr>
          <w:rFonts w:ascii="仿宋_GB2312" w:hAnsi="仿宋_GB2312" w:cs="仿宋_GB2312" w:eastAsia="仿宋_GB2312"/>
        </w:rPr>
        <w:t>采购包2：不接受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厦门市卫生健康委员会</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厦门市同安路2号天鹭大厦B座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颜女士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0592-2031260</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厦门市华沧采购招标有限公司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厦门市海沧区海沧街道沧虹路95号第八层B区</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361000</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刘瑞凤、危青</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0592-5333805</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厦门市华沧采购招标有限公司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4,000,000.00</w:t>
      </w:r>
    </w:p>
    <w:p>
      <w:pPr>
        <w:pStyle w:val="null3"/>
        <w:jc w:val="left"/>
      </w:pPr>
      <w:r>
        <w:rPr>
          <w:rFonts w:ascii="仿宋_GB2312" w:hAnsi="仿宋_GB2312" w:cs="仿宋_GB2312" w:eastAsia="仿宋_GB2312"/>
        </w:rPr>
        <w:t>采购包最高限价（元）: 4,000,000.00</w:t>
      </w:r>
    </w:p>
    <w:p>
      <w:pPr>
        <w:pStyle w:val="null3"/>
        <w:jc w:val="left"/>
      </w:pPr>
      <w:r>
        <w:rPr>
          <w:rFonts w:ascii="仿宋_GB2312" w:hAnsi="仿宋_GB2312" w:cs="仿宋_GB2312" w:eastAsia="仿宋_GB2312"/>
        </w:rPr>
        <w:t>采购包保证金金额（元）: 80,000.00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发药机</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4,000,000.00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4,000,000.00</w:t>
      </w:r>
    </w:p>
    <w:p>
      <w:pPr>
        <w:pStyle w:val="null3"/>
        <w:jc w:val="left"/>
      </w:pPr>
      <w:r>
        <w:rPr>
          <w:rFonts w:ascii="仿宋_GB2312" w:hAnsi="仿宋_GB2312" w:cs="仿宋_GB2312" w:eastAsia="仿宋_GB2312"/>
        </w:rPr>
        <w:t>采购包最高限价（元）: 4,000,000.00</w:t>
      </w:r>
    </w:p>
    <w:p>
      <w:pPr>
        <w:pStyle w:val="null3"/>
        <w:jc w:val="left"/>
      </w:pPr>
      <w:r>
        <w:rPr>
          <w:rFonts w:ascii="仿宋_GB2312" w:hAnsi="仿宋_GB2312" w:cs="仿宋_GB2312" w:eastAsia="仿宋_GB2312"/>
        </w:rPr>
        <w:t>采购包保证金金额（元）: 80,000.00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门诊自动发药机</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4,000,000.00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发药机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分签单位：厦门大学附属心血管病医院</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发药机</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发药机</w:t>
            </w:r>
          </w:p>
        </w:tc>
        <w:tc>
          <w:tcPr>
            <w:tcW w:type="dxa" w:w="2076"/>
          </w:tcPr>
          <w:p>
            <w:pPr>
              <w:pStyle w:val="null3"/>
              <w:jc w:val="left"/>
            </w:pPr>
            <w:r>
              <w:rPr>
                <w:rFonts w:ascii="仿宋_GB2312" w:hAnsi="仿宋_GB2312" w:cs="仿宋_GB2312" w:eastAsia="仿宋_GB2312"/>
              </w:rPr>
              <w:t>详见招标文件第五章</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4,000,000.00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分签单位：厦门大学附属心血管病医院</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门诊自动发药机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分签单位：厦门大学附属第一医院</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门诊自动发药机</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门诊自动发药机</w:t>
            </w:r>
          </w:p>
        </w:tc>
        <w:tc>
          <w:tcPr>
            <w:tcW w:type="dxa" w:w="2076"/>
          </w:tcPr>
          <w:p>
            <w:pPr>
              <w:pStyle w:val="null3"/>
              <w:jc w:val="left"/>
            </w:pPr>
            <w:r>
              <w:rPr>
                <w:rFonts w:ascii="仿宋_GB2312" w:hAnsi="仿宋_GB2312" w:cs="仿宋_GB2312" w:eastAsia="仿宋_GB2312"/>
              </w:rPr>
              <w:t>详见招标文件第五章</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4,000,000.00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分签单位：厦门大学附属第一医院</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p>
            <w:pPr>
              <w:pStyle w:val="null3"/>
              <w:jc w:val="left"/>
            </w:pPr>
            <w:r>
              <w:rPr>
                <w:rFonts w:ascii="仿宋_GB2312" w:hAnsi="仿宋_GB2312" w:cs="仿宋_GB2312" w:eastAsia="仿宋_GB2312"/>
              </w:rPr>
              <w:t>采购包2：不组织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p>
            <w:pPr>
              <w:pStyle w:val="null3"/>
              <w:jc w:val="left"/>
            </w:pPr>
            <w:r>
              <w:rPr>
                <w:rFonts w:ascii="仿宋_GB2312" w:hAnsi="仿宋_GB2312" w:cs="仿宋_GB2312" w:eastAsia="仿宋_GB2312"/>
              </w:rPr>
              <w:t>采购包2：不允许合同分包；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a.评标结果按评审后得分由高到低顺序排列。得分相同的，按投标报价由低到高顺序排列；b.投标报价相同的，按技术项得分由高到低顺序排列；c.技术项得分相同的，采取随机抽取的方式确定。（备注：本条款与招标文件其他条款约定不一致的，以本条款为准。）</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自中标通知书发出之日起20个日历日内。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厦门市华沧采购招标有限公司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厦门市财政局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代理服务费收费标准：①本项目类别：货物类。 ②关于招标代理服务费：收费标准按差额定率累进法计取。收费标准具体为：以单个采购包的中标总金额为准，按差额定率累进法计取，具体按以下标准的49%计取：（0，100万元]，1.50%；（100万元，500万元]，1.10%；（500万元，1000万元]，0.80%；（1000万元，5000万元]，0.50%；分段累进计算。招标代理服务费由中标人在领取中标通知书的同时，以转账、电汇、现金存款等付款方式一次性缴清。 服务费缴交账户： 开户行：厦门银行银隆支行； 开户名：厦门市华沧采购招标有限公司； 账号：8751020109007675。 ③经认定符合中小企业政策规定且资料提供完整的中小企业，中标后可享受代理服务费下浮10%的优惠。</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①针对投标人须知前附表表1序号9的补充说明：提交质疑须附上系统报名截图，来函件应为加盖投标人公章、留有联系方式的原件。代理机构联系地址：厦门市思明区莲岳路221-1号（公交大厦A栋）11楼华沧前台，联系方式：0592-5333805。②友情提醒网上报名：登录福建省政府采购网厦门分网（厦门市政府采购网）http://www.ccgp-xiamen.gov.cn/→ 【服务专区】→【供应商】→【操作手册】，按手册指引操作。请投标人及时进行网上报名并提前办理CA。</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 xml:space="preserve">第二章-投标人须知前附表（表1）序号11中“※若出现上述指定媒体信息不一致情形，应以中国政府采购网福建分网（福建省政府采购网）发布的为准” </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“※若出现上述指定媒体信息不一致情形，应以中国政府采购网发布的为准。” 后适用本项目的电子招标投标活动。</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根据闽财规[2023]29号文规定，福建省财政厅《关于福建省省级政府采购货物和服务项目招标文件编制指引和实施指引的补充通知(三)》(闽财购[2010]28号)已废止，取消本招标文件第七章电子投标文件格式中“资格及资信证明部分中不得出现报价部分的全部或部分的投标报价信息(或组成资料)，否则资格审查不合格。(联合体协议及分包意向协议中的比例规定，不适用本条款)”、“技术商务部分中不得出现报价部分的全部或部分的投标报价信息(或组成资料)，否则符合性审查不合格。”的规定。</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厦门市华沧采购招标有限公司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厦门市华沧采购招标有限公司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厦门市华沧采购招标有限公司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厦门市华沧采购招标有限公司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厦门市华沧采购招标有限公司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厦门市华沧采购招标有限公司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厦门市华沧采购招标有限公司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厦门市华沧采购招标有限公司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厦门市华沧采购招标有限公司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②投标（响应）明细报价表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厦门市华沧采购招标有限公司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厦门市华沧采购招标有限公司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厦门市华沧采购招标有限公司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 xml:space="preserve">③其他形式： </w:t>
      </w: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厦门市华沧采购招标有限公司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厦门市华沧采购招标有限公司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厦门市华沧采购招标有限公司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厦门市华沧采购招标有限公司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厦门市华沧采购招标有限公司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厦门市华沧采购招标有限公司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厦门市华沧采购招标有限公司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厦门市华沧采购招标有限公司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厦门市华沧采购招标有限公司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厦门市华沧采购招标有限公司</w:t>
      </w:r>
      <w:r>
        <w:rPr>
          <w:rFonts w:ascii="仿宋_GB2312" w:hAnsi="仿宋_GB2312" w:cs="仿宋_GB2312" w:eastAsia="仿宋_GB2312"/>
        </w:rPr>
        <w:t xml:space="preserve"> 提出询问， </w:t>
      </w:r>
      <w:r>
        <w:rPr>
          <w:rFonts w:ascii="仿宋_GB2312" w:hAnsi="仿宋_GB2312" w:cs="仿宋_GB2312" w:eastAsia="仿宋_GB2312"/>
        </w:rPr>
        <w:t>厦门市华沧采购招标有限公司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厦门市华沧采购招标有限公司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厦门市华沧采购招标有限公司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由厦门市华沧采购招标有限公司派出的工作人员至少1人，</w:t>
      </w:r>
      <w:r>
        <w:rPr>
          <w:rFonts w:ascii="仿宋_GB2312" w:hAnsi="仿宋_GB2312" w:cs="仿宋_GB2312" w:eastAsia="仿宋_GB2312"/>
        </w:rPr>
        <w:t>其余1人可为采购人代表或厦门市华沧采购招标有限公司的工作人员。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投标人采用资格承诺制。采用资格承诺制的投标人，应当根据投标(响应)格式文件要求提供资格承诺函，无需提供《中华人民共和国政府采购法实施条例》第十七条第一款规定的一般资格条件证明材料；资格承诺函不符合招标文件要求的，视为未按照招标文件规定提交投标人的资格及资信证明文件，按资格审查不合格处理。②采购项目有特殊资格要求的，投标人还应按要求提供相应的证明材料。③若投标人未选择采用资格承诺制的，应按照招标文件要求提供一般资格条件证明材料。若投标人提供资信证明的，则须提供2024年1月1日以来开户银行出具的资信证明扫描件(若资信证明备注有效期的，必须在有效期内，否则为无效资信证明)。</w:t>
            </w:r>
          </w:p>
        </w:tc>
      </w:tr>
      <w:tr>
        <w:tc>
          <w:tcPr>
            <w:tcW w:type="dxa" w:w="3692"/>
          </w:tcPr>
          <w:p>
            <w:pPr>
              <w:pStyle w:val="null3"/>
              <w:jc w:val="left"/>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left"/>
            </w:pPr>
            <w:r>
              <w:rPr>
                <w:rFonts w:ascii="仿宋_GB2312" w:hAnsi="仿宋_GB2312" w:cs="仿宋_GB2312" w:eastAsia="仿宋_GB2312"/>
              </w:rPr>
              <w:t>依据《财政部关于在政府采购活动中查询及使用信用记录有关问题的通知》（财库〔2016〕125号）规定及厦门市财政局《关于进一步规范供应商信用记录查询使用的通知》（厦财采〔2020〕14号）的规定执行，具体要求如下：1、信用信息查询渠道：资格审查小组通过“信用中国”网站（www.creditchina.gov.cn）、中国政府采购网（www.ccgp.gov.cn）、“信用中国（福建厦门）”网站（credit.xm.gov.cn）查询所有投标人的信用信息。2、截止时点：查询本项目投标截止时间点前三年内的信用信息。 3、查询记录和证据留存方式：资格审查小组将查询结果网页打印后随采购文件一并存档。 4、信用信息的使用规则： （1）查询结果显示存在不良信用记录（包含列入失信被执行人、重大税收违法失信主体、政府采购严重违法失信行为记录名单，且相关信用惩戒期限未满及其他不符合《中华人民共和国政府采购法》第二十二条规定条件）的投标人，其资格审查不合格。（2）联合体参加政府采购活动的，资格审查小组将对所有联合体成员进行信用记录查询，联合体成员存在不良信用记录的，视同联合体存在不良信用记录，联合体资格审查不合格。（3）因查询渠道网站原因导致查无投标人信息的，不认定投标人资格审查不合格；评审结束后，通过其他渠道发现投标人存在不良信用记录的，不认定为资格审查错误，将依照有关规定进行调查处理。（4）投标人无需提供信用信息查询结果。若投标人自行提供查询结果的，仍以资格审查小组查询结果为准。</w:t>
            </w:r>
          </w:p>
        </w:tc>
      </w:tr>
      <w:tr>
        <w:tc>
          <w:tcPr>
            <w:tcW w:type="dxa" w:w="3692"/>
          </w:tcPr>
          <w:p>
            <w:pPr>
              <w:pStyle w:val="null3"/>
              <w:jc w:val="left"/>
            </w:pPr>
            <w:r>
              <w:rPr>
                <w:rFonts w:ascii="仿宋_GB2312" w:hAnsi="仿宋_GB2312" w:cs="仿宋_GB2312" w:eastAsia="仿宋_GB2312"/>
              </w:rPr>
              <w:t>采购人根据采购项目的要求规定的特定条件</w:t>
            </w:r>
          </w:p>
        </w:tc>
        <w:tc>
          <w:tcPr>
            <w:tcW w:type="dxa" w:w="4614"/>
          </w:tcPr>
          <w:p>
            <w:pPr>
              <w:pStyle w:val="null3"/>
              <w:jc w:val="left"/>
            </w:pPr>
            <w:r>
              <w:rPr>
                <w:rFonts w:ascii="仿宋_GB2312" w:hAnsi="仿宋_GB2312" w:cs="仿宋_GB2312" w:eastAsia="仿宋_GB2312"/>
              </w:rPr>
              <w:t>1.投标人须根据所投的医疗器械分类，提供以下材料：第一类医疗器械:投标人应提供投标产品的“第-类医疗器械备案凭证”及“第一类医疗器械备案信息表”扫描件。第二类、第三类医疗器械提供相应的《医疗器械注册证》扫描件(若医疗器械注册证上未体现投标产品型号规格的，则应同时提供附页扫描件)。 2.投标人所投的医疗器械若含有第二类医疗器械的，投标人应提供其《医疗器械经营备案凭证》或《食品药品生产经营许可证》扫描件；若含有第三类医疗器械的，供应商应提供其《医疗器械经营许可证》或《食品药品生产经营许可证》扫描件。投标人为投标产品的生产企业，应在投标文件中提供所投第一类医疗器械的“医疗器械生产备案凭证”，第二、三类医疗器械的“有效期内的医疗器械生产许可证”扫描件。所有证件必须真实有效。 注：本项目未办理进口产品论证，不允许进口产品参与投标。投标人所投配置清单设备中，产品属于医疗器械，须按照1、2点要求提供相关材料。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1）本采购包落实中小企业扶持政策要求的方式：整体专门面向中小企业采购。（2）投标人须按招标文件第七章附件格式要求提供中小企业声明函。（3）本项目属性为货物类，采购标的对应的中小企业划分标准所属行业为工业。</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投标人采用资格承诺制。采用资格承诺制的投标人，应当根据投标(响应)格式文件要求提供资格承诺函，无需提供《中华人民共和国政府采购法实施条例》第十七条第一款规定的一般资格条件证明材料；资格承诺函不符合招标文件要求的，视为未按照招标文件规定提交投标人的资格及资信证明文件，按资格审查不合格处理。②采购项目有特殊资格要求的，投标人还应按要求提供相应的证明材料。③若投标人未选择采用资格承诺制的，应按照招标文件要求提供一般资格条件证明材料。若投标人提供资信证明的，则须提供2024年1月1日以来开户银行出具的资信证明扫描件(若资信证明备注有效期的，必须在有效期内，否则为无效资信证明)。</w:t>
            </w:r>
          </w:p>
        </w:tc>
      </w:tr>
      <w:tr>
        <w:tc>
          <w:tcPr>
            <w:tcW w:type="dxa" w:w="3692"/>
          </w:tcPr>
          <w:p>
            <w:pPr>
              <w:pStyle w:val="null3"/>
              <w:jc w:val="left"/>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left"/>
            </w:pPr>
            <w:r>
              <w:rPr>
                <w:rFonts w:ascii="仿宋_GB2312" w:hAnsi="仿宋_GB2312" w:cs="仿宋_GB2312" w:eastAsia="仿宋_GB2312"/>
              </w:rPr>
              <w:t>依据《财政部关于在政府采购活动中查询及使用信用记录有关问题的通知》（财库〔2016〕125号）规定及厦门市财政局《关于进一步规范供应商信用记录查询使用的通知》（厦财采〔2020〕14号）的规定执行，具体要求如下：1、信用信息查询渠道：资格审查小组通过“信用中国”网站（www.creditchina.gov.cn）、中国政府采购网（www.ccgp.gov.cn）、“信用中国（福建厦门）”网站（credit.xm.gov.cn）查询所有投标人的信用信息。2、截止时点：查询本项目投标截止时间点前三年内的信用信息。 3、查询记录和证据留存方式：资格审查小组将查询结果网页打印后随采购文件一并存档。 4、信用信息的使用规则： （1）查询结果显示存在不良信用记录（包含列入失信被执行人、重大税收违法失信主体、政府采购严重违法失信行为记录名单，且相关信用惩戒期限未满及其他不符合《中华人民共和国政府采购法》第二十二条规定条件）的投标人，其资格审查不合格。（2）联合体参加政府采购活动的，资格审查小组将对所有联合体成员进行信用记录查询，联合体成员存在不良信用记录的，视同联合体存在不良信用记录，联合体资格审查不合格。（3）因查询渠道网站原因导致查无投标人信息的，不认定投标人资格审查不合格；评审结束后，通过其他渠道发现投标人存在不良信用记录的，不认定为资格审查错误，将依照有关规定进行调查处理。（4）投标人无需提供信用信息查询结果。若投标人自行提供查询结果的，仍以资格审查小组查询结果为准。</w:t>
            </w:r>
          </w:p>
        </w:tc>
      </w:tr>
      <w:tr>
        <w:tc>
          <w:tcPr>
            <w:tcW w:type="dxa" w:w="3692"/>
          </w:tcPr>
          <w:p>
            <w:pPr>
              <w:pStyle w:val="null3"/>
              <w:jc w:val="left"/>
            </w:pPr>
            <w:r>
              <w:rPr>
                <w:rFonts w:ascii="仿宋_GB2312" w:hAnsi="仿宋_GB2312" w:cs="仿宋_GB2312" w:eastAsia="仿宋_GB2312"/>
              </w:rPr>
              <w:t>采购人根据采购项目的要求规定的特定条件</w:t>
            </w:r>
          </w:p>
        </w:tc>
        <w:tc>
          <w:tcPr>
            <w:tcW w:type="dxa" w:w="4614"/>
          </w:tcPr>
          <w:p>
            <w:pPr>
              <w:pStyle w:val="null3"/>
              <w:jc w:val="left"/>
            </w:pPr>
            <w:r>
              <w:rPr>
                <w:rFonts w:ascii="仿宋_GB2312" w:hAnsi="仿宋_GB2312" w:cs="仿宋_GB2312" w:eastAsia="仿宋_GB2312"/>
              </w:rPr>
              <w:t>1.投标人须根据所投的医疗器械分类，提供以下材料：第一类医疗器械:投标人应提供投标产品的“第-类医疗器械备案凭证”及“第一类医疗器械备案信息表”扫描件。第二类、第三类医疗器械提供相应的《医疗器械注册证》扫描件(若医疗器械注册证上未体现投标产品型号规格的，则应同时提供附页扫描件)。 2.投标人所投的医疗器械若含有第二类医疗器械的，投标人应提供其《医疗器械经营备案凭证》或《食品药品生产经营许可证》扫描件；若含有第三类医疗器械的，供应商应提供其《医疗器械经营许可证》或《食品药品生产经营许可证》扫描件。投标人为投标产品的生产企业，应在投标文件中提供所投第一类医疗器械的“医疗器械生产备案凭证”，第二、三类医疗器械的“有效期内的医疗器械生产许可证”扫描件。所有证件必须真实有效。 注：本项目未办理进口产品论证，不允许进口产品参与投标。投标人所投配置清单设备中，产品属于医疗器械，须按照1、2点要求提供相关材料。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1）本采购包落实中小企业扶持政策要求的方式：整体专门面向中小企业采购。（2）投标人须按招标文件第七章附件格式要求提供中小企业声明函。（3）本项目属性为货物类，采购标的对应的中小企业划分标准所属行业为工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厦门市华沧采购招标有限公司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厦门市华沧采购招标有限公司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厦门市华沧采购招标有限公司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厦门市华沧采购招标有限公司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厦门市华沧采购招标有限公司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带★号条款1</w:t>
            </w:r>
          </w:p>
        </w:tc>
        <w:tc>
          <w:tcPr>
            <w:tcW w:type="dxa" w:w="4153"/>
          </w:tcPr>
          <w:p>
            <w:pPr>
              <w:pStyle w:val="null3"/>
              <w:jc w:val="left"/>
            </w:pPr>
            <w:r>
              <w:rPr>
                <w:rFonts w:ascii="仿宋_GB2312" w:hAnsi="仿宋_GB2312" w:cs="仿宋_GB2312" w:eastAsia="仿宋_GB2312"/>
              </w:rPr>
              <w:t>1、全自动快速发药机技术要求1.1★设备需要与医院现有的所有药房自动化设备及系统（按照分签单位需求，包括但不限于现有自动发药机系统、片剂摆药机系统、毒麻药品管理柜系统等）、医院信息系统(按照分签单位需求，包括但不限于 HIS、LIS、PACS等)接口兼容且无缝链接，响应供应商需承诺所投设备数据接口开放且不额外收费，无偿提供技术协助及硬件支持，满足分签单位的数据采集要求，并承诺承担药房改造所产生的所有费用（包括但不限于药房基建改造、强弱电改造、原设备移位等）</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带★号条款2</w:t>
            </w:r>
          </w:p>
        </w:tc>
        <w:tc>
          <w:tcPr>
            <w:tcW w:type="dxa" w:w="4153"/>
          </w:tcPr>
          <w:p>
            <w:pPr>
              <w:pStyle w:val="null3"/>
              <w:jc w:val="left"/>
            </w:pPr>
            <w:r>
              <w:rPr>
                <w:rFonts w:ascii="仿宋_GB2312" w:hAnsi="仿宋_GB2312" w:cs="仿宋_GB2312" w:eastAsia="仿宋_GB2312"/>
              </w:rPr>
              <w:t>1、全自动快速发药机技术要求1.3★根据医院实际工作及未来发展需求和现场条件，药房设备（包含原药房自动化设备）需重新布局。以药房中轴线为中心，发药机对称分布在中轴线两侧，色调须与现有发药机协调一致。在满足我院药品储存要求前提下，发药机主机的正面宽度≤6米，厚度≤2.5米。发药机系统总占地面积≤15平米。(提供设备技术说明书，平面设计图(须标注精确尺寸)，3D设计图(须标注精确尺寸)，3D渲染图(须标注精确尺寸)等证明)</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带★号条款3</w:t>
            </w:r>
          </w:p>
        </w:tc>
        <w:tc>
          <w:tcPr>
            <w:tcW w:type="dxa" w:w="4153"/>
          </w:tcPr>
          <w:p>
            <w:pPr>
              <w:pStyle w:val="null3"/>
              <w:jc w:val="left"/>
            </w:pPr>
            <w:r>
              <w:rPr>
                <w:rFonts w:ascii="仿宋_GB2312" w:hAnsi="仿宋_GB2312" w:cs="仿宋_GB2312" w:eastAsia="仿宋_GB2312"/>
              </w:rPr>
              <w:t>1、全自动快速发药机技术要求1.6★全自动发药机的储药主机单元所有药品的储存模式为：斜槽式存储；采用一种药品对应一条指定储药斜槽的定位储药模式。（提供设备药槽部件的实物图片证明）</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带★号条款4</w:t>
            </w:r>
          </w:p>
        </w:tc>
        <w:tc>
          <w:tcPr>
            <w:tcW w:type="dxa" w:w="4153"/>
          </w:tcPr>
          <w:p>
            <w:pPr>
              <w:pStyle w:val="null3"/>
              <w:jc w:val="left"/>
            </w:pPr>
            <w:r>
              <w:rPr>
                <w:rFonts w:ascii="仿宋_GB2312" w:hAnsi="仿宋_GB2312" w:cs="仿宋_GB2312" w:eastAsia="仿宋_GB2312"/>
              </w:rPr>
              <w:t>1、全自动快速发药机技术要求1.8★药槽结构为无动力滑轨（非助力药槽、非密集滚珠式助力药槽），每根独立储存药槽均能调节宽度，以适用于各种规格不同的药品。（提供具有CNAS或CMA认证的第三方检测报告证明）</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带★号条款5</w:t>
            </w:r>
          </w:p>
        </w:tc>
        <w:tc>
          <w:tcPr>
            <w:tcW w:type="dxa" w:w="4153"/>
          </w:tcPr>
          <w:p>
            <w:pPr>
              <w:pStyle w:val="null3"/>
              <w:jc w:val="left"/>
            </w:pPr>
            <w:r>
              <w:rPr>
                <w:rFonts w:ascii="仿宋_GB2312" w:hAnsi="仿宋_GB2312" w:cs="仿宋_GB2312" w:eastAsia="仿宋_GB2312"/>
              </w:rPr>
              <w:t>10、★原设备直发螺旋改造技术要求 原门诊发药机移机后，直发通道和螺旋滑道需要根据新场地进行升级适配，以保证直发窗口的正常工作。</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带★号条款6</w:t>
            </w:r>
          </w:p>
        </w:tc>
        <w:tc>
          <w:tcPr>
            <w:tcW w:type="dxa" w:w="4153"/>
          </w:tcPr>
          <w:p>
            <w:pPr>
              <w:pStyle w:val="null3"/>
              <w:jc w:val="left"/>
            </w:pPr>
            <w:r>
              <w:rPr>
                <w:rFonts w:ascii="仿宋_GB2312" w:hAnsi="仿宋_GB2312" w:cs="仿宋_GB2312" w:eastAsia="仿宋_GB2312"/>
              </w:rPr>
              <w:t>14、★原设备移位改造技术要求 原设备移位改造过程中所需更换的所有零配件须与原设备配套，移位改造后不改变设备原有性能。</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带★号条款7</w:t>
            </w:r>
          </w:p>
        </w:tc>
        <w:tc>
          <w:tcPr>
            <w:tcW w:type="dxa" w:w="4153"/>
          </w:tcPr>
          <w:p>
            <w:pPr>
              <w:pStyle w:val="null3"/>
              <w:jc w:val="left"/>
            </w:pPr>
            <w:r>
              <w:rPr>
                <w:rFonts w:ascii="仿宋_GB2312" w:hAnsi="仿宋_GB2312" w:cs="仿宋_GB2312" w:eastAsia="仿宋_GB2312"/>
              </w:rPr>
              <w:t>15、★基建改造要求 需承担项目包含所需基建改造。提供具体改造方案（包含药房现场设计图(须标注精确尺寸)，3D渲染图(须标注精确尺寸)、设备定位图(须标注精确尺寸)，强弱电布线图(须标注精确尺寸)等）</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带★号条款8</w:t>
            </w:r>
          </w:p>
        </w:tc>
        <w:tc>
          <w:tcPr>
            <w:tcW w:type="dxa" w:w="4153"/>
          </w:tcPr>
          <w:p>
            <w:pPr>
              <w:pStyle w:val="null3"/>
              <w:jc w:val="left"/>
            </w:pPr>
            <w:r>
              <w:rPr>
                <w:rFonts w:ascii="仿宋_GB2312" w:hAnsi="仿宋_GB2312" w:cs="仿宋_GB2312" w:eastAsia="仿宋_GB2312"/>
              </w:rPr>
              <w:t>售后服务要求10.3★保修期：本项目自验收合格之日起至少提供5年原厂保修。机器到货时间应在出厂日期180天以内。保修期间中标人应提供一切原厂维修服务和更换原厂零配件。设备保修期内，中标人需提供来自原厂每年至少4次的设备技术安全巡检保养并提供年度巡检保养报告给分签单位存档。以上保修期内所需的费用均包含在投标总价中，分签单位不再另行付费。对以上要求投标人需提供承诺函，否则投标无效。</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带★号条款9</w:t>
            </w:r>
          </w:p>
        </w:tc>
        <w:tc>
          <w:tcPr>
            <w:tcW w:type="dxa" w:w="4153"/>
          </w:tcPr>
          <w:p>
            <w:pPr>
              <w:pStyle w:val="null3"/>
              <w:jc w:val="left"/>
            </w:pPr>
            <w:r>
              <w:rPr>
                <w:rFonts w:ascii="仿宋_GB2312" w:hAnsi="仿宋_GB2312" w:cs="仿宋_GB2312" w:eastAsia="仿宋_GB2312"/>
              </w:rPr>
              <w:t>售后服务要求10.4★在保修期内，中标人应确保年开机率在97%（含）以上，若不能达到此开机率，将作以下处理： （1）年开机率在90（含）-97%（不含）之间，延长保修期1年； （2）年开机率在85（含）-90%（不含）之间，延长保修期2年； （3）年开机率低于85%（不含），中标人应无条件更换新机，并重新计算保修期，以及赔偿医院的直接经济损失和间接经济损失。 注：年开机率=（365-停机天数）/365）。 对以上要求投标人需提供承诺函，否则投标无效。</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带★号条款1</w:t>
            </w:r>
          </w:p>
        </w:tc>
        <w:tc>
          <w:tcPr>
            <w:tcW w:type="dxa" w:w="4153"/>
          </w:tcPr>
          <w:p>
            <w:pPr>
              <w:pStyle w:val="null3"/>
              <w:jc w:val="left"/>
            </w:pPr>
            <w:r>
              <w:rPr>
                <w:rFonts w:ascii="仿宋_GB2312" w:hAnsi="仿宋_GB2312" w:cs="仿宋_GB2312" w:eastAsia="仿宋_GB2312"/>
              </w:rPr>
              <w:t>1、全自动快速发药机技术要求1.1★设备需要与医院现有的所有药房自动化设备及系统（按照分签单位需求，包括但不限于现有自动发药机系统、片剂摆药机系统、毒麻药品管理柜系统等）、医院信息系统(按照分签单位需求，包括但不限于 HIS、LIS、PACS等)接口兼容且无缝链接，响应供应商需承诺所投设备数据接口开放且不额外收费，无偿提供技术协助及硬件支持，满足分签单位的数据采集要求，并承诺承担药房改造所产生的所有费用（包括但不限于药房基建改造、强弱电改造、原设备移位等）</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带★号条款2</w:t>
            </w:r>
          </w:p>
        </w:tc>
        <w:tc>
          <w:tcPr>
            <w:tcW w:type="dxa" w:w="4153"/>
          </w:tcPr>
          <w:p>
            <w:pPr>
              <w:pStyle w:val="null3"/>
              <w:jc w:val="left"/>
            </w:pPr>
            <w:r>
              <w:rPr>
                <w:rFonts w:ascii="仿宋_GB2312" w:hAnsi="仿宋_GB2312" w:cs="仿宋_GB2312" w:eastAsia="仿宋_GB2312"/>
              </w:rPr>
              <w:t>1、全自动快速发药机技术要求1.4★为保证系统运行的稳定性、兼容性，要求整套系统所有设备及系统软件须为同一品牌。（需作出响应承诺并明确品牌，否则视为不满足）。</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带★号条款3</w:t>
            </w:r>
          </w:p>
        </w:tc>
        <w:tc>
          <w:tcPr>
            <w:tcW w:type="dxa" w:w="4153"/>
          </w:tcPr>
          <w:p>
            <w:pPr>
              <w:pStyle w:val="null3"/>
              <w:jc w:val="left"/>
            </w:pPr>
            <w:r>
              <w:rPr>
                <w:rFonts w:ascii="仿宋_GB2312" w:hAnsi="仿宋_GB2312" w:cs="仿宋_GB2312" w:eastAsia="仿宋_GB2312"/>
              </w:rPr>
              <w:t>2、自助发药机2.6★为利于药品发药顺滑，单个储药槽位表面（与药品接触面）选择密集滚动助力或其他助力方式，保证发药准确性，避免误差。（需提供实物照片，并且提供产品彩页，或制造商官网介绍截图，或产品技术说明书，或检测报告等进行佐证，否则视为不满足）。</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带★号条款4</w:t>
            </w:r>
          </w:p>
        </w:tc>
        <w:tc>
          <w:tcPr>
            <w:tcW w:type="dxa" w:w="4153"/>
          </w:tcPr>
          <w:p>
            <w:pPr>
              <w:pStyle w:val="null3"/>
              <w:jc w:val="left"/>
            </w:pPr>
            <w:r>
              <w:rPr>
                <w:rFonts w:ascii="仿宋_GB2312" w:hAnsi="仿宋_GB2312" w:cs="仿宋_GB2312" w:eastAsia="仿宋_GB2312"/>
              </w:rPr>
              <w:t>5、自动发筐机5.2★设备构成：双通道储存药筐装置，控制操作一体机和双通道出筐机构。（需提供实物照片，并且提供产品彩页，或制造商官网介绍截图，或产品技术说明书，或检测报告等进行佐证，否则视为不满足）。</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带★号条款5</w:t>
            </w:r>
          </w:p>
        </w:tc>
        <w:tc>
          <w:tcPr>
            <w:tcW w:type="dxa" w:w="4153"/>
          </w:tcPr>
          <w:p>
            <w:pPr>
              <w:pStyle w:val="null3"/>
              <w:jc w:val="left"/>
            </w:pPr>
            <w:r>
              <w:rPr>
                <w:rFonts w:ascii="仿宋_GB2312" w:hAnsi="仿宋_GB2312" w:cs="仿宋_GB2312" w:eastAsia="仿宋_GB2312"/>
              </w:rPr>
              <w:t>8、拆零机8.6★药盒抽屉数量≥5个，药品种类≥75种。（需提供承诺函，并需提供产品彩页，或制造商官网介绍截图，或产品技术说明书，或检测报告等进行佐证，否则视为不满足）。</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带★号条款6</w:t>
            </w:r>
          </w:p>
        </w:tc>
        <w:tc>
          <w:tcPr>
            <w:tcW w:type="dxa" w:w="4153"/>
          </w:tcPr>
          <w:p>
            <w:pPr>
              <w:pStyle w:val="null3"/>
              <w:jc w:val="left"/>
            </w:pPr>
            <w:r>
              <w:rPr>
                <w:rFonts w:ascii="仿宋_GB2312" w:hAnsi="仿宋_GB2312" w:cs="仿宋_GB2312" w:eastAsia="仿宋_GB2312"/>
              </w:rPr>
              <w:t>10、门诊药房中央管理系统10.5★中央管理系统具备报表管理功能：为药房提供数据报表（至少包含：患者等候时间统计、药师工作量统计、设备调剂处方统计等。），并将汇总数据转化为图表或直观数字模式以供参阅。（需提供实物照片，并且提供产品彩页，或制造商官网介绍截图，或产品技术说明书，或检测报告等进行佐证，否则视为不满足）</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带★号条款7</w:t>
            </w:r>
          </w:p>
        </w:tc>
        <w:tc>
          <w:tcPr>
            <w:tcW w:type="dxa" w:w="4153"/>
          </w:tcPr>
          <w:p>
            <w:pPr>
              <w:pStyle w:val="null3"/>
              <w:jc w:val="left"/>
            </w:pPr>
            <w:r>
              <w:rPr>
                <w:rFonts w:ascii="仿宋_GB2312" w:hAnsi="仿宋_GB2312" w:cs="仿宋_GB2312" w:eastAsia="仿宋_GB2312"/>
              </w:rPr>
              <w:t>售后服务要求10.3★保修期：本项目自验收合格之日起至少提供5年原厂保修。机器到货时间应在出厂日期180天以内。保修期间中标人应提供一切维修服务和更换零配件。设备保修期内，中标人需提供来自原厂每年至少6次的设备技术安全巡检保养并提供年度巡检保养报告给分签单位存档。以上保修期内所需的费用均包含在投标总价中，分签单位不再另行付费。对以上要求投标人需提供承诺函，否则投标无效。</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带★号条款8</w:t>
            </w:r>
          </w:p>
        </w:tc>
        <w:tc>
          <w:tcPr>
            <w:tcW w:type="dxa" w:w="4153"/>
          </w:tcPr>
          <w:p>
            <w:pPr>
              <w:pStyle w:val="null3"/>
              <w:jc w:val="left"/>
            </w:pPr>
            <w:r>
              <w:rPr>
                <w:rFonts w:ascii="仿宋_GB2312" w:hAnsi="仿宋_GB2312" w:cs="仿宋_GB2312" w:eastAsia="仿宋_GB2312"/>
              </w:rPr>
              <w:t>售后服务要求10.4★在保修期内，中标人应确保年开机率在97%（含）以上，若不能达到此开机率，将作以下处理： （1）年开机率在90（含）-97%（不含）之间，延长保修期1年； （2）年开机率在85（含）-90%（不含）之间，延长保修期2年； （3）年开机率低于85%（不含），中标人应无条件更换新机，并重新计算保修期，以及赔偿医院的直接经济损失和间接经济损失。 注：年开机率=（365-停机天数）/365）。 对以上要求投标人需提供承诺函，否则投标无效。</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技术符合性：无</w:t>
      </w:r>
    </w:p>
    <w:p>
      <w:pPr>
        <w:pStyle w:val="null3"/>
        <w:jc w:val="left"/>
      </w:pPr>
      <w:r>
        <w:rPr>
          <w:rFonts w:ascii="仿宋_GB2312" w:hAnsi="仿宋_GB2312" w:cs="仿宋_GB2312" w:eastAsia="仿宋_GB2312"/>
        </w:rPr>
        <w:t>商务符合性：无</w:t>
      </w:r>
    </w:p>
    <w:p>
      <w:pPr>
        <w:pStyle w:val="null3"/>
        <w:jc w:val="left"/>
      </w:pPr>
      <w:r>
        <w:rPr>
          <w:rFonts w:ascii="仿宋_GB2312" w:hAnsi="仿宋_GB2312" w:cs="仿宋_GB2312" w:eastAsia="仿宋_GB2312"/>
        </w:rPr>
        <w:t>价格符合性：无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技术符合性：无</w:t>
      </w:r>
    </w:p>
    <w:p>
      <w:pPr>
        <w:pStyle w:val="null3"/>
        <w:jc w:val="left"/>
      </w:pPr>
      <w:r>
        <w:rPr>
          <w:rFonts w:ascii="仿宋_GB2312" w:hAnsi="仿宋_GB2312" w:cs="仿宋_GB2312" w:eastAsia="仿宋_GB2312"/>
        </w:rPr>
        <w:t>商务符合性：无</w:t>
      </w:r>
    </w:p>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厦门市华沧采购招标有限公司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采购包2：综合评分法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对投标人所投产品属于《关于印发节能产品政府采购品目清单的通知》（财库〔2019〕19号）、《关于印发环境标志产品政府采购品目清单的通知》（财库〔2019〕18号）内的产品实施优先采购，对节能产品、环境标志产品给予产品价格报价10%的扣除，用扣除后的价格参加评审。 2、投标人应对优先采购产品和非优先采购产品进行分项报价，并单独汇总优先采购产品的总价；若投标人未按要求进行分项报价的，自行承担无法享受价格扣除的不利后果。 3、非优先采购产品、强制类节能产品不享受价格扣除优惠。同一优先采购产品中各认证证书不重复计算价格扣除。</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技术项（F2×A2）满分为55.0000分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投标人所投设备满足以下要求的得1分： 1、全自动快速发药机技术要求1.2全自动发药机药品储存要求：品种数≥1400种，储药量≥17000盒。（提供设备技术说明书证明）</w:t>
            </w:r>
          </w:p>
        </w:tc>
      </w:tr>
      <w:tr>
        <w:tc>
          <w:tcPr>
            <w:tcW w:type="dxa" w:w="3322"/>
          </w:tcPr>
          <w:p>
            <w:pPr>
              <w:pStyle w:val="null3"/>
              <w:jc w:val="both"/>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投标人所投设备满足以下要求的得1分： 1、全自动快速发药机技术要求1.4全自动发药机的发药系统和补药系统为相对独立的模块，发药和补药的工作可以同时进行，二者互不影响。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投标人所投设备满足以下要求的得1分： 1、全自动快速发药机技术要求1.5全自动发药机必须具备：设备出现故障时，可让药师手工拿到所有机内储存药品进行应急发药的功能。（提供具有CNAS或CMA认证的第三方检测报告证明）</w:t>
            </w:r>
          </w:p>
        </w:tc>
      </w:tr>
      <w:tr>
        <w:tc>
          <w:tcPr>
            <w:tcW w:type="dxa" w:w="3322"/>
          </w:tcPr>
          <w:p>
            <w:pPr>
              <w:pStyle w:val="null3"/>
              <w:jc w:val="both"/>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投标人所投设备满足以下要求的得3分： 1、全自动快速发药机技术要求1.7▲发药机内储存的药品应按照单品种储存在独立的药槽中，每种药品的药盒必须基于药槽水平放置，放置高度必须为药品药盒最短边的长度。（提供具有CNAS或CMA认证的第三方检测报告证明）</w:t>
            </w:r>
          </w:p>
        </w:tc>
      </w:tr>
      <w:tr>
        <w:tc>
          <w:tcPr>
            <w:tcW w:type="dxa" w:w="3322"/>
          </w:tcPr>
          <w:p>
            <w:pPr>
              <w:pStyle w:val="null3"/>
              <w:jc w:val="both"/>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投标人所投设备满足以下要求的得1分： 1、全自动快速发药机技术要求1.9发药机发药速度≥2500盒/时，处方处理能力≥500张/时。（提供具有CNAS或CMA认证的第三方检测报告证明）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投标人所投设备满足以下要求的得3分： 1、全自动快速发药机技术要求1.10▲发药机发药方式为全品种同时自由重力落药、设备底部接药方式，以确保在设备故障时可人工应急发药。（提供具有CNAS或CMA认证的第三方检测报告证明）</w:t>
            </w:r>
          </w:p>
        </w:tc>
      </w:tr>
      <w:tr>
        <w:tc>
          <w:tcPr>
            <w:tcW w:type="dxa" w:w="3322"/>
          </w:tcPr>
          <w:p>
            <w:pPr>
              <w:pStyle w:val="null3"/>
              <w:jc w:val="both"/>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投标人所投设备满足以下要求的得3分： 1、全自动快速发药机技术要求1.11▲主机加药机械手与补药人员之间须具备补药缓存系统（或自动加药预缓存机）进行间隔，同时进行待加药品的预缓存处理，补药人员上药工作和机械手的自动补药工作可同时进行，以提高补药速度、防止人身伤害。（提供设备照片证明及技术说明书证明）</w:t>
            </w:r>
          </w:p>
        </w:tc>
      </w:tr>
      <w:tr>
        <w:tc>
          <w:tcPr>
            <w:tcW w:type="dxa" w:w="3322"/>
          </w:tcPr>
          <w:p>
            <w:pPr>
              <w:pStyle w:val="null3"/>
              <w:jc w:val="both"/>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投标人所投设备满足以下要求的得1分： 1、全自动快速发药机技术要求1.12自动加药预缓存机具备瓶装药品批量补药缓存系统，瓶装药品补药缓存通道≥4条，瓶装药品补药缓存量≥20瓶。（提供具有CNAS或CMA认证的第三方检测报告证明）</w:t>
            </w:r>
          </w:p>
        </w:tc>
      </w:tr>
      <w:tr>
        <w:tc>
          <w:tcPr>
            <w:tcW w:type="dxa" w:w="3322"/>
          </w:tcPr>
          <w:p>
            <w:pPr>
              <w:pStyle w:val="null3"/>
              <w:jc w:val="both"/>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投标人所投设备满足以下要求的得1分： 1、全自动快速发药机技术要求1.13瓶装药批量补药缓存系统具备盒装药批量补药缓存功能，在必要时可以转换进行盒装药的批量补药缓存。（提供设备部件的2张实物图片证明）</w:t>
            </w:r>
          </w:p>
        </w:tc>
      </w:tr>
      <w:tr>
        <w:tc>
          <w:tcPr>
            <w:tcW w:type="dxa" w:w="3322"/>
          </w:tcPr>
          <w:p>
            <w:pPr>
              <w:pStyle w:val="null3"/>
              <w:jc w:val="both"/>
            </w:pPr>
            <w:r>
              <w:rPr>
                <w:rFonts w:ascii="仿宋_GB2312" w:hAnsi="仿宋_GB2312" w:cs="仿宋_GB2312" w:eastAsia="仿宋_GB2312"/>
              </w:rPr>
              <w:t>1-10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投标人所投设备满足以下要求的得3分： 1、全自动快速发药机技术要求1.14▲瓶装药批量补药缓存系统可单次、同时将≥10瓶药品输入主机加药机械手内，输入速度≤1秒，确保补药速度。（提供具有CNAS或CMA认证的第三方检测报告证明）</w:t>
            </w:r>
          </w:p>
        </w:tc>
      </w:tr>
      <w:tr>
        <w:tc>
          <w:tcPr>
            <w:tcW w:type="dxa" w:w="3322"/>
          </w:tcPr>
          <w:p>
            <w:pPr>
              <w:pStyle w:val="null3"/>
              <w:jc w:val="both"/>
            </w:pPr>
            <w:r>
              <w:rPr>
                <w:rFonts w:ascii="仿宋_GB2312" w:hAnsi="仿宋_GB2312" w:cs="仿宋_GB2312" w:eastAsia="仿宋_GB2312"/>
              </w:rPr>
              <w:t>1-11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投标人所投设备满足以下要求的得2分： 1、全自动快速发药机技术要求1.15主机加药机械手单次运行可同时携带≥2种药品且≥10盒（或瓶）进行自动补药作业。（提供具有CNAS或CMA认证的第三方检测报告证明）</w:t>
            </w:r>
          </w:p>
        </w:tc>
      </w:tr>
      <w:tr>
        <w:tc>
          <w:tcPr>
            <w:tcW w:type="dxa" w:w="3322"/>
          </w:tcPr>
          <w:p>
            <w:pPr>
              <w:pStyle w:val="null3"/>
              <w:jc w:val="both"/>
            </w:pPr>
            <w:r>
              <w:rPr>
                <w:rFonts w:ascii="仿宋_GB2312" w:hAnsi="仿宋_GB2312" w:cs="仿宋_GB2312" w:eastAsia="仿宋_GB2312"/>
              </w:rPr>
              <w:t>1-12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投标人所投设备满足以下要求的得3分： 1、全自动快速发药机技术要求1.16▲主机加药机械手具备错误药品自动回收功能。在加药作业出现卡药故障时，主机加药机械手可自动将被卡的药品回退至储药主机内部的药品回收站，并自动恢复补药工作，无需人工干预，实现卡药不停机工作。（提供具有CNAS或CMA认证的第三方检测报告证明）</w:t>
            </w:r>
          </w:p>
        </w:tc>
      </w:tr>
      <w:tr>
        <w:tc>
          <w:tcPr>
            <w:tcW w:type="dxa" w:w="3322"/>
          </w:tcPr>
          <w:p>
            <w:pPr>
              <w:pStyle w:val="null3"/>
              <w:jc w:val="both"/>
            </w:pPr>
            <w:r>
              <w:rPr>
                <w:rFonts w:ascii="仿宋_GB2312" w:hAnsi="仿宋_GB2312" w:cs="仿宋_GB2312" w:eastAsia="仿宋_GB2312"/>
              </w:rPr>
              <w:t>1-13</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投标人所投设备满足以下要求的得1分： 1、全自动快速发药机技术要求1.17主机加药机械手具备能根据药盒大小自动调节尺寸的功能。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1-14</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投标人所投设备满足以下要求的得1分： 1、全自动快速发药机技术要求1.18具备补药全程实时监控功能，监控系统集成于设备内部。（提供具有CNAS或CMA认证的第三方检测报告证明）</w:t>
            </w:r>
          </w:p>
        </w:tc>
      </w:tr>
      <w:tr>
        <w:tc>
          <w:tcPr>
            <w:tcW w:type="dxa" w:w="3322"/>
          </w:tcPr>
          <w:p>
            <w:pPr>
              <w:pStyle w:val="null3"/>
              <w:jc w:val="both"/>
            </w:pPr>
            <w:r>
              <w:rPr>
                <w:rFonts w:ascii="仿宋_GB2312" w:hAnsi="仿宋_GB2312" w:cs="仿宋_GB2312" w:eastAsia="仿宋_GB2312"/>
              </w:rPr>
              <w:t>1-15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投标人所投设备满足以下要求的得3分： 1、全自动快速发药机技术要求1.19▲发药机整体加药速度≥3000盒/小时。（提供具有CNAS或CMA认证的第三方检测报告证明）</w:t>
            </w:r>
          </w:p>
        </w:tc>
      </w:tr>
      <w:tr>
        <w:tc>
          <w:tcPr>
            <w:tcW w:type="dxa" w:w="3322"/>
          </w:tcPr>
          <w:p>
            <w:pPr>
              <w:pStyle w:val="null3"/>
              <w:jc w:val="both"/>
            </w:pPr>
            <w:r>
              <w:rPr>
                <w:rFonts w:ascii="仿宋_GB2312" w:hAnsi="仿宋_GB2312" w:cs="仿宋_GB2312" w:eastAsia="仿宋_GB2312"/>
              </w:rPr>
              <w:t>1-16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投标人所投设备满足以下要求的得3分： 1、全自动快速发药机技术要求1.20▲具备自动盘点功能，盘点方式采用激光计数，可不停机盘点，整机盘点时间≤30分钟。（提供具有CNAS或CMA认证的第三方检测报告证明）</w:t>
            </w:r>
          </w:p>
        </w:tc>
      </w:tr>
      <w:tr>
        <w:tc>
          <w:tcPr>
            <w:tcW w:type="dxa" w:w="3322"/>
          </w:tcPr>
          <w:p>
            <w:pPr>
              <w:pStyle w:val="null3"/>
              <w:jc w:val="both"/>
            </w:pPr>
            <w:r>
              <w:rPr>
                <w:rFonts w:ascii="仿宋_GB2312" w:hAnsi="仿宋_GB2312" w:cs="仿宋_GB2312" w:eastAsia="仿宋_GB2312"/>
              </w:rPr>
              <w:t>1-17</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投标人所投设备满足以下要求的得1分： 1、全自动快速发药机技术要求1.21对相同药品不同规格或形似药品或高危药品自动二次提醒功能，确保药品补充正确性。（提供设备技术说明书证明）</w:t>
            </w:r>
          </w:p>
        </w:tc>
      </w:tr>
      <w:tr>
        <w:tc>
          <w:tcPr>
            <w:tcW w:type="dxa" w:w="3322"/>
          </w:tcPr>
          <w:p>
            <w:pPr>
              <w:pStyle w:val="null3"/>
              <w:jc w:val="both"/>
            </w:pPr>
            <w:r>
              <w:rPr>
                <w:rFonts w:ascii="仿宋_GB2312" w:hAnsi="仿宋_GB2312" w:cs="仿宋_GB2312" w:eastAsia="仿宋_GB2312"/>
              </w:rPr>
              <w:t>1-18</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投标人所投设备满足以下要求的得2分： 1、全自动快速发药机技术要求1.22至少可通过扫描药品条码、二维码、药品追溯码、快速输入药品名称等方式确认补药品种。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投标人所投设备满足以下要求的得2分： 2、自动批量补药机技术要求2.1发药机具备盒装药批量补药预缓存系统。批量补药预缓存系统具备≥20个预存通道，可预存药品≥1000盒，发药机具备无人干预自动加药功能。（提供设备部件的实物图片证明以证明）</w:t>
            </w:r>
          </w:p>
        </w:tc>
      </w:tr>
      <w:tr>
        <w:tc>
          <w:tcPr>
            <w:tcW w:type="dxa" w:w="3322"/>
          </w:tcPr>
          <w:p>
            <w:pPr>
              <w:pStyle w:val="null3"/>
              <w:jc w:val="both"/>
            </w:pPr>
            <w:r>
              <w:rPr>
                <w:rFonts w:ascii="仿宋_GB2312" w:hAnsi="仿宋_GB2312" w:cs="仿宋_GB2312" w:eastAsia="仿宋_GB2312"/>
              </w:rPr>
              <w:t>1-20</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投标人所投设备满足以下要求的得1分： 2、自动批量补药机技术要求2.2盒装药自动批量补药通道的药品预缓存方式：纵向叠加方式，放置高度为药盒最短边长度。（提供设备部件的实物图片证明以证明）</w:t>
            </w:r>
          </w:p>
        </w:tc>
      </w:tr>
      <w:tr>
        <w:tc>
          <w:tcPr>
            <w:tcW w:type="dxa" w:w="3322"/>
          </w:tcPr>
          <w:p>
            <w:pPr>
              <w:pStyle w:val="null3"/>
              <w:jc w:val="both"/>
            </w:pPr>
            <w:r>
              <w:rPr>
                <w:rFonts w:ascii="仿宋_GB2312" w:hAnsi="仿宋_GB2312" w:cs="仿宋_GB2312" w:eastAsia="仿宋_GB2312"/>
              </w:rPr>
              <w:t>1-21</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投标人所投设备满足以下要求的得1分： 2、自动批量补药机技术要求2.3设备与发药机无缝链接，自动传输发药机发出的药品至混合药品调配区域。传输速度≥2米每秒，速度可调节。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1-22</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投标人所投设备满足以下要求的得1分： 3、双工位绑定台技术要求：可同时支持≥2位药师同时工作。具备自动分离出无发药机内药品的处方并与智能药筐自动绑定的功能。具备自动触发、唤醒智能药筐的功能，使智能药筐从休眠状态进入工作状态。具备自动打印调配清单的功能，清单应包括调药信息、患者信息、用药交代等内容。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1-23</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投标人所投设备满足以下要求的得1分： 4、预配缓存机技术要求：具备缓存输送由后台药师调配好的混合处方药筐，缓存量：≥4个。具备药筐控制阀和光感传感器，可自动控制药筐输出。具备药师工作卡读卡装置，可对后台调配药师进行工作量的统计。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1-24</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投标人所投设备满足以下要求的得1分： 5、地面传输线技术要求：采用双线式输送模式，具备二套药筐控制阀和光感传感器，可自动控制药筐输出频次。（提供设备照片说明）</w:t>
            </w:r>
          </w:p>
        </w:tc>
      </w:tr>
      <w:tr>
        <w:tc>
          <w:tcPr>
            <w:tcW w:type="dxa" w:w="3322"/>
          </w:tcPr>
          <w:p>
            <w:pPr>
              <w:pStyle w:val="null3"/>
              <w:jc w:val="both"/>
            </w:pPr>
            <w:r>
              <w:rPr>
                <w:rFonts w:ascii="仿宋_GB2312" w:hAnsi="仿宋_GB2312" w:cs="仿宋_GB2312" w:eastAsia="仿宋_GB2312"/>
              </w:rPr>
              <w:t>1-25</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投标人所投设备满足以下要求的得1分： 6、智能药篮技术要求：可与处方信息绑定，承载处方药品，可由传送系统传输至各发药窗口，亮灯提示处方药品位置，无需固定位置摆放。具备双色亮灯提示在同一个自动缓存架的不同窗口的发药。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1-26</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投标人所投设备满足以下要求的得1分： 7、自动窗口缓存架技术要求：具备三层自动缓存，每层缓存量≥2个筐。底层具有自动传送装置，具备传送和缓存功能。所有自动缓存货位具备独立传感器，可自动感知新到药筐和被取走药筐情况。具备独立升降机，可自动将底层药筐输送至上层缓存，方便药师拿取。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1-27</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投标人所投设备满足以下要求的得1分： 8、回筐线技术要求：采用双线式输送模式，具备二套药筐控制阀和光感传感器，可自动控制药筐输出频次。具备多筐、无间隙、同时、无噪音传送，实现高效传输。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1-28</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投标人所投设备满足以下要求的得1分： 9、码筐机技术要求：具备与发药机和传输线无缝对接，药筐缓存量：≥30个。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1-29</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投标人所投设备满足以下要求的得1分： 11、机内追溯码模块技术要求：模块位于发药机内部，无需外接设备，发药机出药同时扫描药品追溯码并上传。影像式扫描，分辦率：最小可识别条宽≤0.08毫米；内置LED补光。支持多组模块同时使用。单模块处理速度≥600盒/h。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1-30</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投标人所投设备满足以下要求的得1分： 12、药品智能配送系统技术要求12.1载重≥200kg，货柜总容积≥300L，柜体/柜门数量≥4个或支持定制。支持部署院内服务器，不可采用云端或院外服务器，确保信息及数据不外泄。（提供承诺书）</w:t>
            </w:r>
          </w:p>
        </w:tc>
      </w:tr>
      <w:tr>
        <w:tc>
          <w:tcPr>
            <w:tcW w:type="dxa" w:w="3322"/>
          </w:tcPr>
          <w:p>
            <w:pPr>
              <w:pStyle w:val="null3"/>
              <w:jc w:val="both"/>
            </w:pPr>
            <w:r>
              <w:rPr>
                <w:rFonts w:ascii="仿宋_GB2312" w:hAnsi="仿宋_GB2312" w:cs="仿宋_GB2312" w:eastAsia="仿宋_GB2312"/>
              </w:rPr>
              <w:t>1-31</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投标人所投设备满足以下要求的得1分： 12、药品智能配送系统技术要求12.2鉴权方式≥3种；包含但不限于刷卡识别、人脸识别、指纹识别。电池续航：充电时间≤3h(至电量95%以上)；满载续航≥12h。（提供具有CNAS或CMA认证的第三方检测报告证明）</w:t>
            </w:r>
          </w:p>
        </w:tc>
      </w:tr>
      <w:tr>
        <w:tc>
          <w:tcPr>
            <w:tcW w:type="dxa" w:w="3322"/>
          </w:tcPr>
          <w:p>
            <w:pPr>
              <w:pStyle w:val="null3"/>
              <w:jc w:val="both"/>
            </w:pPr>
            <w:r>
              <w:rPr>
                <w:rFonts w:ascii="仿宋_GB2312" w:hAnsi="仿宋_GB2312" w:cs="仿宋_GB2312" w:eastAsia="仿宋_GB2312"/>
              </w:rPr>
              <w:t>1-32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投标人所投设备满足以下要求的得2分： 12、药品智能配送系统技术要求12.3需采用基于物联网平台的国产操作系统（如鸿蒙系统），确保信息安全。（提供软著证书证明文件或其他官方认证文件）</w:t>
            </w:r>
          </w:p>
        </w:tc>
      </w:tr>
      <w:tr>
        <w:tc>
          <w:tcPr>
            <w:tcW w:type="dxa" w:w="3322"/>
          </w:tcPr>
          <w:p>
            <w:pPr>
              <w:pStyle w:val="null3"/>
              <w:jc w:val="both"/>
            </w:pPr>
            <w:r>
              <w:rPr>
                <w:rFonts w:ascii="仿宋_GB2312" w:hAnsi="仿宋_GB2312" w:cs="仿宋_GB2312" w:eastAsia="仿宋_GB2312"/>
              </w:rPr>
              <w:t>1-33</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投标人所投设备满足以下要求的得1分： 13、可视化中央监控系统技术要求：能与医院 his系统，处方管理系统，自动化药房管理系统等系统无缝连接。能实时显示药剂科当前工作状态；实时显示各发药窗口工作状态。实时显示当天发药窗口数据统计；数据显示模式可按医院要求定制。系统数据可存储进行闭环追溯。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1-34</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投标人所投设备满足以下要求的得1分： 16、智能化药房管理软件系统：所有软件控制系统使用TCP及DB双重方式与HIS系统进行数据交换，具备数据库服务器RAID备份与防病毒系统，保障数据存储安全。设备具备网络管理功能，多台设备可以协同工作。全中文触摸操作系统，支持一维、二维条码及药品追溯码的识别系统。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1-35</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投标人所投设备满足以下要求的得1分： 17、设备具备对发药，补药过程的监视功能，一旦出现故障，系统自动停止工作，同时报警和提示故障位置，屏蔽故障药槽，不影响其他药槽工作。具备药品库存上下限设置功能，当药品库存低于设定下限时，系统会自动提示需要补充的品种和数量。如药品库存大于上限时，系统会自动提示药品卸货品种和数量。具备手动（自动）药品档案，药品尺寸，药品图片，药槽对应等基本信息的调整功能，保证药品信息的准确与药品存储的合理。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1-36</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投标人所投设备满足以下要求的得1分： 18、具备药品批号、效期管理功能，具备机内药品查询统计功能，至少包含当前库存查询、当前库存批号查询、一定日期内的发药量、已发药药品信息查询统计等。具有专用出药口对近效期药品和近期无发药药品进行自动下架功能。具备补货智能分析与分配系统，合理分配各发药机补货品种数量功能。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1-37</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投标人所投设备满足以下要求的得1分： 19、具备通过识别药品条形码确认补药品种与数量功能。无条码药品可以通过自制条码或屏幕直接选择药品的方式确认补药品种与数量。具备发药窗口智能分配排号系统，可根据窗口开放情况，药品库存，排队情况 分配取药窗口号。如网络中断，无法从HIS得到处方信息，可以手动输入处方发药。 注：投标人需按第五章第2.2.3条要求提供佐证材料，并在佐证材料上标示评分标准对应的内容，否则不得分。</w:t>
            </w:r>
          </w:p>
        </w:tc>
      </w:tr>
    </w:tbl>
    <w:p>
      <w:pPr>
        <w:pStyle w:val="null3"/>
        <w:jc w:val="both"/>
      </w:pPr>
      <w:r>
        <w:rPr>
          <w:rFonts w:ascii="仿宋_GB2312" w:hAnsi="仿宋_GB2312" w:cs="仿宋_GB2312" w:eastAsia="仿宋_GB2312"/>
        </w:rPr>
        <w:t>商务项（F3×A3）满分为15.0000分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可提供厦门本地化售后服务的得1分，否则不得分。投标人可提供合作单位协议或者自身机构的营业执照证明，也可以提供在本地设立的项目部、办公室、办事处等机构证明，或者承诺中标后提供本地化服务。</w:t>
            </w:r>
          </w:p>
        </w:tc>
      </w:tr>
      <w:tr>
        <w:tc>
          <w:tcPr>
            <w:tcW w:type="dxa" w:w="3322"/>
          </w:tcPr>
          <w:p>
            <w:pPr>
              <w:pStyle w:val="null3"/>
              <w:jc w:val="left"/>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投标产品交付期在满足招标要求（自医院发出供货通知后60个日历日内交货）的基础上每提前5天得0.5分，满分1分。投标人须提供书面承诺，否则不得分。</w:t>
            </w:r>
          </w:p>
        </w:tc>
      </w:tr>
      <w:tr>
        <w:tc>
          <w:tcPr>
            <w:tcW w:type="dxa" w:w="3322"/>
          </w:tcPr>
          <w:p>
            <w:pPr>
              <w:pStyle w:val="null3"/>
              <w:jc w:val="left"/>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投标人能够根据售后服务要求提供售后服务方案，方案至少包含售后服务计划、售后服务人员安排以及对保修期外提供相应的服务计划的得1分；未提供或方案不满足以上要求的不得分。</w:t>
            </w:r>
          </w:p>
        </w:tc>
      </w:tr>
      <w:tr>
        <w:tc>
          <w:tcPr>
            <w:tcW w:type="dxa" w:w="3322"/>
          </w:tcPr>
          <w:p>
            <w:pPr>
              <w:pStyle w:val="null3"/>
              <w:jc w:val="left"/>
            </w:pPr>
            <w:r>
              <w:rPr>
                <w:rFonts w:ascii="仿宋_GB2312" w:hAnsi="仿宋_GB2312" w:cs="仿宋_GB2312" w:eastAsia="仿宋_GB2312"/>
              </w:rPr>
              <w:t>2-4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保修期内，厂方必须派1名工程师驻点(办公地点由医院提供)到医院现场提供维修、保养服务，驻点工程师须根据医院药房上班时间(包括节假日)提供服务，服务响应时间≤5分钟，解决问题最长期限≤24小时且提供售后服务的工程师必须提供厂家培训认证书。投标人须提供书面承诺，否则不得分。</w:t>
            </w:r>
          </w:p>
        </w:tc>
      </w:tr>
      <w:tr>
        <w:tc>
          <w:tcPr>
            <w:tcW w:type="dxa" w:w="3322"/>
          </w:tcPr>
          <w:p>
            <w:pPr>
              <w:pStyle w:val="null3"/>
              <w:jc w:val="left"/>
            </w:pPr>
            <w:r>
              <w:rPr>
                <w:rFonts w:ascii="仿宋_GB2312" w:hAnsi="仿宋_GB2312" w:cs="仿宋_GB2312" w:eastAsia="仿宋_GB2312"/>
              </w:rPr>
              <w:t>2-5</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投标人能够提供设备使用培训方案，方案至少包含培训方式、培训计划和培训大纲，并且对设备的工作原理、操作步骤、正常维护有说明的得1分；未提供或方案不满足以上要求的不得分。</w:t>
            </w:r>
          </w:p>
        </w:tc>
      </w:tr>
      <w:tr>
        <w:tc>
          <w:tcPr>
            <w:tcW w:type="dxa" w:w="3322"/>
          </w:tcPr>
          <w:p>
            <w:pPr>
              <w:pStyle w:val="null3"/>
              <w:jc w:val="left"/>
            </w:pPr>
            <w:r>
              <w:rPr>
                <w:rFonts w:ascii="仿宋_GB2312" w:hAnsi="仿宋_GB2312" w:cs="仿宋_GB2312" w:eastAsia="仿宋_GB2312"/>
              </w:rPr>
              <w:t>2-6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承诺的投标产品保修期过后的年维保费用进行评价：（1）年维保费用≤设备单价3%，得3分；（2）设备单价3%＜年维保费用≤设备单价5%，得2分；（3）设备单价5%＜年维保费用≤设备单价8%，得1分。（4）其他情况不得分。</w:t>
            </w:r>
          </w:p>
        </w:tc>
      </w:tr>
      <w:tr>
        <w:tc>
          <w:tcPr>
            <w:tcW w:type="dxa" w:w="3322"/>
          </w:tcPr>
          <w:p>
            <w:pPr>
              <w:pStyle w:val="null3"/>
              <w:jc w:val="left"/>
            </w:pPr>
            <w:r>
              <w:rPr>
                <w:rFonts w:ascii="仿宋_GB2312" w:hAnsi="仿宋_GB2312" w:cs="仿宋_GB2312" w:eastAsia="仿宋_GB2312"/>
              </w:rPr>
              <w:t>2-7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根据2022年1月1日（以合同签订时间为准）以来的类似业绩进行评价：每个业绩得1分，满分3分。 注：（1）类似业绩是指：投标人销售发药机的业绩。 （2）需提供业绩的以下四项证明材料，否则不计分： ①中标（成交）公告（提供相关网站中标（成交）公告的下载网页并注明网址）； ②中标（成交）通知书； ③采购合同文本； ④能够证明该业绩项目已经采购人验收合格的相关证明材料。（验收材料须加盖业绩对应采购人印章）</w:t>
            </w:r>
          </w:p>
        </w:tc>
      </w:tr>
      <w:tr>
        <w:tc>
          <w:tcPr>
            <w:tcW w:type="dxa" w:w="3322"/>
          </w:tcPr>
          <w:p>
            <w:pPr>
              <w:pStyle w:val="null3"/>
              <w:jc w:val="left"/>
            </w:pPr>
            <w:r>
              <w:rPr>
                <w:rFonts w:ascii="仿宋_GB2312" w:hAnsi="仿宋_GB2312" w:cs="仿宋_GB2312" w:eastAsia="仿宋_GB2312"/>
              </w:rPr>
              <w:t>2-8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提供有利于分签单位的条款：主要考量①对现址门诊药房发药机提供合并质保的；②对现址静配中心自动化设备（至少包含：智能针剂库，贴签机，溶媒货架，分拣机，移动排药系统、复核仪等）提供合并质保的；有承诺任一项得1.5分，否则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jc w:val="both"/>
      </w:pPr>
      <w:r>
        <w:rPr>
          <w:rFonts w:ascii="仿宋_GB2312" w:hAnsi="仿宋_GB2312" w:cs="仿宋_GB2312" w:eastAsia="仿宋_GB2312"/>
        </w:rPr>
        <w:t>采购包2：综合评分法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对投标人所投产品属于《关于印发节能产品政府采购品目清单的通知》（财库〔2019〕19号）、《关于印发环境标志产品政府采购品目清单的通知》（财库〔2019〕18号）内的产品实施优先采购，对节能产品、环境标志产品给予产品价格报价10%的扣除，用扣除后的价格参加评审。 2、投标人应对优先采购产品和非优先采购产品进行分项报价，并单独汇总优先采购产品的总价；若投标人未按要求进行分项报价的，自行承担无法享受价格扣除的不利后果。 3、非优先采购产品、强制类节能产品不享受价格扣除优惠。同一优先采购产品中各认证证书不重复计算价格扣除。</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技术项（F2×A2）满分为55.0000分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投标人所投设备满足以下要求的得3分： 1、全自动快速发药机技术要求1.2▲（1）系统须与医院HIS无缝链接，确保医嘱和处方信息无障碍传输，整套设备系统的控制软件操作界面为简体中文。 ▲（2）系统能够根据HIS指令调配处方，可满足各种规格药品的调剂和发放。设备须满足≥3000张/日处方量的工作需求，为保证工作效率，设备加药与发药互相独立，互不影响。 ▲（3）因本次招标设备为非医疗设备，为机电自动化设备，所有自动化药房系统配置核心设备（包含自助发药机、嵌入高发机、智能电子药框、智能调配机、麻精药品管理机等）需提供第三方检测机构检测带有CMA或CNAS标识的认证，应标企业的应标产品可自行申请检测。</w:t>
            </w:r>
          </w:p>
        </w:tc>
      </w:tr>
      <w:tr>
        <w:tc>
          <w:tcPr>
            <w:tcW w:type="dxa" w:w="3322"/>
          </w:tcPr>
          <w:p>
            <w:pPr>
              <w:pStyle w:val="null3"/>
              <w:jc w:val="both"/>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投标人所投设备满足以下要求的得3分： 1、全自动快速发药机技术要求1.3▲为保障处方流转和数据采集的安全性，生产企业应至少具备质量体系认证，信息技术服务管理体系认证、信息安全管理体系认证。（需提供质量体系认证、信息技术服务管理体系认证、信息安全管理体系认证证书进行佐证，否则视为不满足）。</w:t>
            </w:r>
          </w:p>
        </w:tc>
      </w:tr>
      <w:tr>
        <w:tc>
          <w:tcPr>
            <w:tcW w:type="dxa" w:w="3322"/>
          </w:tcPr>
          <w:p>
            <w:pPr>
              <w:pStyle w:val="null3"/>
              <w:jc w:val="both"/>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投标人所投设备满足以下要求的得0.5分： 2、自助发药机2.1整机能够接收处方分发指令信息，按照要求自动分发盒装药品。同时能够通过人工授权干预，分发所需药品。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投标人所投设备满足以下要求的得0.5分： 2、自助发药机2.2整机设备与医院HIS系统无缝链接，自动接收处方信息，设备根据信息指令自动分发药品。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投标人所投设备满足以下要求的得0.5分： 2、自助发药机2.3整机设备至少包含储药单元、发药单元、补药单元、传输单元和控制操作单元。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投标人所投设备满足以下要求的得0.5分： 2、自助发药机2.4储药单元为模块化，根据需求，模块化自由组合。整机储药形式为倾斜式密集储药槽位存储药品方式。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投标人所投设备满足以下要求的得0.5分： 2、自助发药机2.5整机存储≥18000盒药品和≥950个药品品规。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投标人所投设备满足以下要求的得3分： 2、自助发药机2.7▲应用补药机械手进行快速自动补充药品，机械手可执行单次多通道同时同步补药方式，单次可补充多个品种的药品，同时单次可补充≥40盒药品（不含机械手之外的缓存装置）。（需提供实物照片，并且提供产品彩页，或制造商官网介绍截图，或产品技术说明书，或检测报告等进行佐证，否则视为不满足）。</w:t>
            </w:r>
          </w:p>
        </w:tc>
      </w:tr>
      <w:tr>
        <w:tc>
          <w:tcPr>
            <w:tcW w:type="dxa" w:w="3322"/>
          </w:tcPr>
          <w:p>
            <w:pPr>
              <w:pStyle w:val="null3"/>
              <w:jc w:val="both"/>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投标人所投设备满足以下要求的得0.5分： 2、自助发药机2.8为保障机械手补药定位的准确性，选择机械手应用视觉核对技术，对待补药品的储位进行定位成像核对。药品核对采用条形码核对方式和图像识别方式。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投标人所投设备满足以下要求的得3分： 2、自助发药机2.9▲在连续上药工作中，机械手上药平均速度每分钟≧25盒（1500盒/小时）。（提供具备CMA或CNAS标识的质量检测机构出具的检测报告）。</w:t>
            </w:r>
          </w:p>
        </w:tc>
      </w:tr>
      <w:tr>
        <w:tc>
          <w:tcPr>
            <w:tcW w:type="dxa" w:w="3322"/>
          </w:tcPr>
          <w:p>
            <w:pPr>
              <w:pStyle w:val="null3"/>
              <w:jc w:val="both"/>
            </w:pPr>
            <w:r>
              <w:rPr>
                <w:rFonts w:ascii="仿宋_GB2312" w:hAnsi="仿宋_GB2312" w:cs="仿宋_GB2312" w:eastAsia="仿宋_GB2312"/>
              </w:rPr>
              <w:t>1-11</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投标人所投设备满足以下要求的得0.5分： 2、自助发药机2.10补药工位具备保护装置，进入设备的出入口具备保护装置，误操作设备同步停止运行，保护人员使用安全。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1-12</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投标人所投设备满足以下要求的得0.5分： 2、自助发药机2.11补药机械手具备多个盘点装置，能够支持整机盘点和单储位盘点的功能。整机盘点≤35分钟。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1-13</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投标人所投设备满足以下要求的得0.5分： 2、自助发药机2.12每个储位槽具备发药机构和核对机构，对实时分发的药品进行核对分发。设备接收处方信息后，涉及到的所需药品的每个储位（不同层和列）能够同时同步分发。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投标人所投设备满足以下要求的得3分： 2、自助发药机2.13▲发药典型处方（含5个数量和品种的药品）平均处理时间应≤10秒钟。（提供具备CMA或CNAS标识的质量检测机构出具的检测报告）。</w:t>
            </w:r>
          </w:p>
        </w:tc>
      </w:tr>
      <w:tr>
        <w:tc>
          <w:tcPr>
            <w:tcW w:type="dxa" w:w="3322"/>
          </w:tcPr>
          <w:p>
            <w:pPr>
              <w:pStyle w:val="null3"/>
              <w:jc w:val="both"/>
            </w:pPr>
            <w:r>
              <w:rPr>
                <w:rFonts w:ascii="仿宋_GB2312" w:hAnsi="仿宋_GB2312" w:cs="仿宋_GB2312" w:eastAsia="仿宋_GB2312"/>
              </w:rPr>
              <w:t>1-15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投标人所投设备满足以下要求的得3分： 2、自助发药机2.14▲整机可靠性要求：各电器元件的连接应可靠，布线合理，具备有效保护接地装置，连续处理≥500个处方，保证起、制动无故障，运动系统定位准确，具备安全保护装置。（提供具备CMA或CNAS标识的质量检测机构出具的检测报告）。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1-16</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投标人所投设备满足以下要求的得0.5分： 2、自助发药机2.15设备具备对药品的基本信息的维护管理，至少包含批号、效期、库存等基本信息管理。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1-17</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投标人所投设备满足以下要求的得0.5分： 2、自助发药机2.16设备能够实时接收处方信息，按照拟定的处方顺序进行分发药品，同时可以实时记录处方分发过程，数据留存和记录。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1-18</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投标人所投设备满足以下要求的得0.5分： 3、直发传输系统3.1传输发药设备发出的药品，传输至发药指定位置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1-19</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投标人所投设备满足以下要求的得0.5分： 3、直发传输系统3.2可支持单机独立使用，可以与多种发药设备同机链接使用。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1-20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投标人所投设备满足以下要求的得3分： 3、直发传输系统3.3▲为避免传输药品时，大处方药品堵塞传输的现象，采用落地传输药品的方式。（需提供实物照片，并且提供产品彩页，或制造商官网介绍截图，或产品技术说明书，或检测报告等进行佐证，否则视为不满足）。</w:t>
            </w:r>
          </w:p>
        </w:tc>
      </w:tr>
      <w:tr>
        <w:tc>
          <w:tcPr>
            <w:tcW w:type="dxa" w:w="3322"/>
          </w:tcPr>
          <w:p>
            <w:pPr>
              <w:pStyle w:val="null3"/>
              <w:jc w:val="both"/>
            </w:pPr>
            <w:r>
              <w:rPr>
                <w:rFonts w:ascii="仿宋_GB2312" w:hAnsi="仿宋_GB2312" w:cs="仿宋_GB2312" w:eastAsia="仿宋_GB2312"/>
              </w:rPr>
              <w:t>1-21</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投标人所投设备满足以下要求的得0.5分： 3、直发传输系统3.4自动感应:传输设备能够接收发药指令或感应待传输药品后高速传输。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1-22</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投标人所投设备满足以下要求的得0.5分： 4、嵌入高发机4.1用于高频次、大批量药品存储与直接发放，解决普通发药机屏蔽大处方的瓶颈，系统接收处方信息自动分发。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1-23</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投标人所投设备满足以下要求的得0.5分： 4、嵌入高发机4.2要求与医院HIS实现无缝隙连接, 系统接收处方信息后，高速分发，通过快速发药主机传输分发。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1-24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投标人所投设备满足以下要求的得3分： 4、嵌入高发机4.3▲设备嵌入自动发药机，与发药机联机工作。当同一处方内药品分别存储在高速发药机和自动发药机时，该处方无需拆分，可一同出药。（需提供实物照片，并且提供产品彩页，或制造商官网介绍截图，或产品技术说明书，或检测报告等进行佐证，否则视为不满足）。</w:t>
            </w:r>
          </w:p>
        </w:tc>
      </w:tr>
      <w:tr>
        <w:tc>
          <w:tcPr>
            <w:tcW w:type="dxa" w:w="3322"/>
          </w:tcPr>
          <w:p>
            <w:pPr>
              <w:pStyle w:val="null3"/>
              <w:jc w:val="both"/>
            </w:pPr>
            <w:r>
              <w:rPr>
                <w:rFonts w:ascii="仿宋_GB2312" w:hAnsi="仿宋_GB2312" w:cs="仿宋_GB2312" w:eastAsia="仿宋_GB2312"/>
              </w:rPr>
              <w:t>1-25</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投标人所投设备满足以下要求的得0.5分： 4、嵌入高发机4.4储存量：单个储位实际放置常规药品数量≥50盒，储药通道≥42个，常规储存药品数量≥2000盒。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1-26</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投标人所投设备满足以下要求的得0.5分： 4、嵌入高发机4.5叠加式储存，存储层数：≥2层。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1-27</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投标人所投设备满足以下要求的得0.5分： 4、嵌入高发机4.6出药方式：上下两层储药通道可以同时出药，配置≥两个出药机械手，同时具有独立的检查计数传感装置。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1-28</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投标人所投设备满足以下要求的得0.5分： 4、嵌入高发机4.7上药速度≥100盒/分钟/人。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1-29</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投标人所投设备满足以下要求的得0.5分： 5、自动发筐机5.1基本功能：接到处方后，可自动发送配药药筐，同时药筐自动绑定处方信息，使药品、药筐、处方信息一一对应，保证准确性。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1-30</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投标人所投设备满足以下要求的得0.5分： 5、自动发筐机5.3出筐绑筐功能：可自动将药筐和处方进行一对一绑定，自动出筐过程中医嘱单据自动打印，医嘱调剂单打印后自动裁剪落筐。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1-31</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投标人所投设备满足以下要求的得0.5分： 5、自动发筐机5.4软件及操作功能：可以双人同时操作，可实现权限登录，工作量绩效考核。药师及时判断处方的处理过程，提高配药效率。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1-32</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投标人所投设备满足以下要求的得0.5分： 6、电子药筐6.1电子药筐与系统无线连接，自动接收发药信息，显示药筐所在位置，并且提示药师取药。6、电子药筐6.2电子药筐与发药机可实现信息同步，在处方药品放入电子药筐后，电子药筐自动录入处方信息，使药品、药筐、处方信息一一对应，保证准确性。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1-33</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投标人所投设备满足以下要求的得0.5分： 6、电子药筐6.3发药口收方后，系统自动提示该处方药品所在的位置，提示药师取药。6、电子药筐6.4电子药筐可以随意摆放，不受固定位置的限制，无需使用药架。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1-34</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投标人所投设备满足以下要求的得0.5分： 6、电子药筐6.5药筐和处方进行一对一绑定，同时辅助发药系统提示，药师及时判断处方的处理过程，提高配药效率。6、电子药筐6.6电池使用周期：可持续使用≥15天。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1-35</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投标人所投设备满足以下要求的得0.5分： 6、电子药筐6.7收到补药信息后，系统自动提示该药品所在的位置，提示药师补药。6、电子药筐6.8耐用性要求：高空≥1米自由摔落，不变型，部件不分离。可承载≥4KG药品。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1-36</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投标人所投设备满足以下要求的得0.5分： 7、调配机7.1设备存储和配发非盒装类药品，接收处方调剂指令，自动运行至操作人员面前，引导存取药品。7、调配机7.2储存形式可储存各种包装形式的药品如：针剂、铝塑板状、拆零袋装、瓶装口服溶液等非盒装药品。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1-37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投标人所投设备满足以下要求的得3分： 7、调配机7.3▲设备模块化，≥4个储药模组组成，储药模组独立运行。每个模组≥25个储位，储位为药盒装载药品。（需提供实物照片，并且提供产品彩页，或制造商官网介绍截图，或产品技术说明书，或检测报告等进行佐证，否则视为不满足）。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1-38</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投标人所投设备满足以下要求的得0.5分： 7、调配机7.4系统接收处方信息后，自动将药品送至药师面前，并提示所在位置。7、调配机7.5能够支持药品的批号、效期和库存等信息的数据管理和记录，支持批号效期和库存的预警。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1-39</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投标人所投设备满足以下要求的得0.5分： 7、调配机7.6出药方式垂直旋转自动寻址，提示药师取药手动出药、指定位置出药。7、调配机7.7射灯可直接指示药盒定位，触摸屏上也将显示药品位置与取药数量。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1-40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投标人所投设备满足以下要求的得3分： 7、调配机7.8▲操作安全性：上下存取药口采用保护装置进行检测，以保护操作人员及设备的安全，如有物体卡住应立即自动停机。同时配备急停按钮装置。（提供CMA或CNAS标识的质量检测机构出具的检测报告或技术白皮书或产品彩页）</w:t>
            </w:r>
          </w:p>
        </w:tc>
      </w:tr>
      <w:tr>
        <w:tc>
          <w:tcPr>
            <w:tcW w:type="dxa" w:w="3322"/>
          </w:tcPr>
          <w:p>
            <w:pPr>
              <w:pStyle w:val="null3"/>
              <w:jc w:val="both"/>
            </w:pPr>
            <w:r>
              <w:rPr>
                <w:rFonts w:ascii="仿宋_GB2312" w:hAnsi="仿宋_GB2312" w:cs="仿宋_GB2312" w:eastAsia="仿宋_GB2312"/>
              </w:rPr>
              <w:t>1-41</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投标人所投设备满足以下要求的得0.5分： 8、拆零机8.1用于门诊药房单剂量药品的分发分装，接到医嘱信息后，自动发送单剂量药品，并打印不干胶贴纸，可附着于包装袋，至少包含药品名称、规格、总量、用法用量等。8、拆零机8.2落药方式采用光检测垂直落药方式。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1-42</w:t>
            </w:r>
          </w:p>
        </w:tc>
        <w:tc>
          <w:tcPr>
            <w:tcW w:type="dxa" w:w="831"/>
          </w:tcPr>
          <w:p>
            <w:pPr>
              <w:pStyle w:val="null3"/>
              <w:jc w:val="right"/>
            </w:pPr>
            <w:r>
              <w:rPr>
                <w:rFonts w:ascii="仿宋_GB2312" w:hAnsi="仿宋_GB2312" w:cs="仿宋_GB2312" w:eastAsia="仿宋_GB2312"/>
              </w:rPr>
              <w:t>0.75</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投标人所投设备满足以下要求的得0.75分： 8、拆零机8.3打印方式为不干胶贴纸，要求热敏打印。8、拆零机8.4开机能够自动检测机器运行状态以及各部分是否工作正常，发现不能工作的部件及时提示报警。8、拆零机8.5出药方式为双通道出药。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1-43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投标人所投设备满足以下要求的得3分： 9、麻精药品管理机▲需要具备接入全国麻精药品溯源管控系统的认证资格，确保麻精药品能够精准溯源。（提供入网注册许可证服务平台查询截图）。</w:t>
            </w:r>
          </w:p>
        </w:tc>
      </w:tr>
      <w:tr>
        <w:tc>
          <w:tcPr>
            <w:tcW w:type="dxa" w:w="3322"/>
          </w:tcPr>
          <w:p>
            <w:pPr>
              <w:pStyle w:val="null3"/>
              <w:jc w:val="both"/>
            </w:pPr>
            <w:r>
              <w:rPr>
                <w:rFonts w:ascii="仿宋_GB2312" w:hAnsi="仿宋_GB2312" w:cs="仿宋_GB2312" w:eastAsia="仿宋_GB2312"/>
              </w:rPr>
              <w:t>1-44</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投标人所投设备满足以下要求的得0.5分： 9、麻精药品管理机9.2能够根据用药指令，双人权限登录后，存取麻精类药品的设备。9、麻精药品管理机9.3能够与HIS无缝链接或麻精专项管理软件信息互联，自动接收该类药品的存取指令。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1-45</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投标人所投设备满足以下要求的得0.5分： 9、麻精药品管理机9.4设备组成为操作控制显示、管控储位抽屉、权限登录系统、全流程360度监控系统。9、麻精药品管理机9.5满足≥3种的权限登录操作，并执行双人登录操作存取该类药品的流程，符合满足在麻精药品的“五专”管理规定下进行操作使用。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1-46</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投标人所投设备满足以下要求的得0.5分： 9、麻精药品管理机9.6接收所需麻精药品的存取指令，涉及所需麻精药品的储药抽屉自动弹开，所需的麻精药品储位对应的管控密闭板自动弹开，指示存取所需药品的相应数量，存取药品后，设备自动计数，并设备自动更新库存信息，无需人工参与计数和更改库存数量。麻精药品管理机≥5层，每层容积≥15L。9、麻精药品管理机9.7每层存储抽屉可选择6个储位抽屉，可选择9个储位抽屉，可选择12个储位抽屉。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1-47</w:t>
            </w:r>
          </w:p>
        </w:tc>
        <w:tc>
          <w:tcPr>
            <w:tcW w:type="dxa" w:w="831"/>
          </w:tcPr>
          <w:p>
            <w:pPr>
              <w:pStyle w:val="null3"/>
              <w:jc w:val="right"/>
            </w:pPr>
            <w:r>
              <w:rPr>
                <w:rFonts w:ascii="仿宋_GB2312" w:hAnsi="仿宋_GB2312" w:cs="仿宋_GB2312" w:eastAsia="仿宋_GB2312"/>
              </w:rPr>
              <w:t>0.75</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投标人所投设备满足以下要求的得0.75分： 9、麻精药品管理机9.8每个存储抽屉中的每个储位配置显示屏，显示该储位麻精药品的基本信息：至少包含品名、规格、库存数量等。9、麻精药品管理机9.9取药准确状态提示，至少包含：误操作多取药品自动预警提示，误操作少取药品自动预警提示，空包装放入自动预警提示。9、麻精药品管理机9.10批号、效期、库存等信息的记录和管理，至少具备批号、效期和库存预警功能。同时能够生成存取日记帐目，便于交接班。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1-48</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投标人所投设备满足以下要求的得0.5分： 10、门诊药房中央管理系统10.1管理系统需要和院内HIS系统对接，至少可以完成与HIS系统间的科室字典同步、员工字典同步、药品字典同步。管理系统需要和自动化设备对接，至少可以执行创建发药任务、取消发药任务、发药执行完成、退药执行完成操作。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1-49</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投标人所投设备满足以下要求的得0.5分： 10、门诊药房中央管理系统10.2具备发药窗口分配系统，可根据窗口开放情况、排队情况分配取药窗口。至少能提供直发、混发、优先窗口等各种窗口模式的选择配置。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1-50</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投标人所投设备满足以下要求的得0.5分： 10、门诊药房中央管理系统10.3管理系统和自动化设备对接，与设备协同工作，至少能实现窗口分配、储位导航、调配提示等功能。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1-51</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投标人所投设备满足以下要求的得0.5分： 10、门诊药房中央管理系统10.4系统支持发药机直发处方的处方调度、处方出药。发药机故障时，系统可对应急人工取药做指引，并在设备故障及设备恢复时提醒工作人员。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1-52</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投标人所投设备满足以下要求的得0.5分： 10、门诊药房中央管理系统10.6系统内实时接收处方数据，至少能实时更新并监控当日总量、已报到量、已调配量、待发放量、已发放量等信息。10、门诊药房中央管理系统10.7系统内根据处方信息向前台分配发药任务，并根据员工的操作留痕实时监控各窗口待配量、待发量。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1-53</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投标人所投设备满足以下要求的得0.5分： 10、门诊药房中央管理系统10.8系统根据员工操作留痕计算出调剂平均时间、窗口发药平均时间，并在患者等候时间过长时对发药员工发出提示。10、门诊药房中央管理系统10.9系统根据抓取的处方信息统计来源的科室并汇总后以科室形式展现，处方信息实时更新。 注：投标人需按第五章第2.2.3条要求提供佐证材料，并在佐证材料上标示评分标准对应的内容，否则不得分。</w:t>
            </w:r>
          </w:p>
        </w:tc>
      </w:tr>
      <w:tr>
        <w:tc>
          <w:tcPr>
            <w:tcW w:type="dxa" w:w="3322"/>
          </w:tcPr>
          <w:p>
            <w:pPr>
              <w:pStyle w:val="null3"/>
              <w:jc w:val="both"/>
            </w:pPr>
            <w:r>
              <w:rPr>
                <w:rFonts w:ascii="仿宋_GB2312" w:hAnsi="仿宋_GB2312" w:cs="仿宋_GB2312" w:eastAsia="仿宋_GB2312"/>
              </w:rPr>
              <w:t>1-54</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投标人所投设备满足以下要求的得0.5分： 10、门诊药房中央管理系统10.10处方设备分布监控：系统监控各设备处理的处方量，统计后可查阅实时更新的数据。10、门诊药房中央管理系统10.11设备实时运行监控，系统可监控全盘设备运行情况，也可监控单个设备处理单处方的实时工作情况。 注：投标人需按第五章第2.2.3条要求提供佐证材料，并在佐证材料上标示评分标准对应的内容，否则不得分。</w:t>
            </w:r>
          </w:p>
        </w:tc>
      </w:tr>
    </w:tbl>
    <w:p>
      <w:pPr>
        <w:pStyle w:val="null3"/>
        <w:jc w:val="both"/>
      </w:pPr>
      <w:r>
        <w:rPr>
          <w:rFonts w:ascii="仿宋_GB2312" w:hAnsi="仿宋_GB2312" w:cs="仿宋_GB2312" w:eastAsia="仿宋_GB2312"/>
        </w:rPr>
        <w:t>商务项（F3×A3）满分为15.0000分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可提供厦门本地化售后服务的得2分，否则不得分。投标人可提供合作单位协议或者自身机构的营业执照证明，也可以提供在本地设立的项目部、办公室、办事处等机构证明，或者承诺中标后提供本地化服务。</w:t>
            </w:r>
          </w:p>
        </w:tc>
      </w:tr>
      <w:tr>
        <w:tc>
          <w:tcPr>
            <w:tcW w:type="dxa" w:w="3322"/>
          </w:tcPr>
          <w:p>
            <w:pPr>
              <w:pStyle w:val="null3"/>
              <w:jc w:val="left"/>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投标产品交付期在满足招标要求（自分签单位发出供货通知后60个日历日内交货）的基础上每提前3天得1分，满分3分。投标人须提供书面承诺，否则不得分。</w:t>
            </w:r>
          </w:p>
        </w:tc>
      </w:tr>
      <w:tr>
        <w:tc>
          <w:tcPr>
            <w:tcW w:type="dxa" w:w="3322"/>
          </w:tcPr>
          <w:p>
            <w:pPr>
              <w:pStyle w:val="null3"/>
              <w:jc w:val="left"/>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投标人能够根据售后服务要求提供售后服务方案，方案至少包含售后服务计划、售后服务人员安排以及对保修期外提供相应的服务计划的得1分；未提供或方案不满足以上要求的不得分。</w:t>
            </w:r>
          </w:p>
        </w:tc>
      </w:tr>
      <w:tr>
        <w:tc>
          <w:tcPr>
            <w:tcW w:type="dxa" w:w="3322"/>
          </w:tcPr>
          <w:p>
            <w:pPr>
              <w:pStyle w:val="null3"/>
              <w:jc w:val="left"/>
            </w:pPr>
            <w:r>
              <w:rPr>
                <w:rFonts w:ascii="仿宋_GB2312" w:hAnsi="仿宋_GB2312" w:cs="仿宋_GB2312" w:eastAsia="仿宋_GB2312"/>
              </w:rPr>
              <w:t>2-4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投标人承诺：保修期内若出现任何故障问题，在接到分签单位通知后1小时内响应，12小时内维修人员到达现场；其中发生一切费用由中标人承担的得2分，否则不得分。</w:t>
            </w:r>
          </w:p>
        </w:tc>
      </w:tr>
      <w:tr>
        <w:tc>
          <w:tcPr>
            <w:tcW w:type="dxa" w:w="3322"/>
          </w:tcPr>
          <w:p>
            <w:pPr>
              <w:pStyle w:val="null3"/>
              <w:jc w:val="left"/>
            </w:pPr>
            <w:r>
              <w:rPr>
                <w:rFonts w:ascii="仿宋_GB2312" w:hAnsi="仿宋_GB2312" w:cs="仿宋_GB2312" w:eastAsia="仿宋_GB2312"/>
              </w:rPr>
              <w:t>2-5</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投标人能够提供设备使用培训方案，方案至少包含培训方式、培训计划和培训大纲，并且对设备的工作原理、操作步骤、正常维护有说明的得1分；未提供或方案不满足以上要求的不得分。</w:t>
            </w:r>
          </w:p>
        </w:tc>
      </w:tr>
      <w:tr>
        <w:tc>
          <w:tcPr>
            <w:tcW w:type="dxa" w:w="3322"/>
          </w:tcPr>
          <w:p>
            <w:pPr>
              <w:pStyle w:val="null3"/>
              <w:jc w:val="left"/>
            </w:pPr>
            <w:r>
              <w:rPr>
                <w:rFonts w:ascii="仿宋_GB2312" w:hAnsi="仿宋_GB2312" w:cs="仿宋_GB2312" w:eastAsia="仿宋_GB2312"/>
              </w:rPr>
              <w:t>2-6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承诺的投标产品保修期过后的年维保费用进行评价：（1）年维保费用≤设备单价3%，得3分；（2）设备单价3%＜年维保费用≤设备单价5%，得2分；（3）设备单价5%＜年维保费用≤设备单价8%，得1分。（4）其他情况不得分。</w:t>
            </w:r>
          </w:p>
        </w:tc>
      </w:tr>
      <w:tr>
        <w:tc>
          <w:tcPr>
            <w:tcW w:type="dxa" w:w="3322"/>
          </w:tcPr>
          <w:p>
            <w:pPr>
              <w:pStyle w:val="null3"/>
              <w:jc w:val="left"/>
            </w:pPr>
            <w:r>
              <w:rPr>
                <w:rFonts w:ascii="仿宋_GB2312" w:hAnsi="仿宋_GB2312" w:cs="仿宋_GB2312" w:eastAsia="仿宋_GB2312"/>
              </w:rPr>
              <w:t>2-7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根据2022年1月1日（以合同签订时间为准）以来的类似业绩进行评价：每个业绩得1分，满分3分。 注：（1）类似业绩是指：投标人销售发药机的业绩。 （2）需提供业绩的以下四项证明材料，否则不计分： ①中标（成交）公告（提供相关网站中标（成交）公告的下载网页并注明网址）； ②中标（成交）通知书； ③采购合同文本； ④能够证明该业绩项目已经采购人验收合格的相关证明材料。（验收材料须加盖业绩对应采购人印章）</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rPr>
        <w:t>1.1本项目为厦门市卫生健康委员会(厦门市医用设备集中采购工作专班)采购发药机项目。</w:t>
      </w:r>
    </w:p>
    <w:p>
      <w:pPr>
        <w:pStyle w:val="null3"/>
        <w:ind w:firstLine="480"/>
        <w:jc w:val="left"/>
      </w:pPr>
      <w:r>
        <w:rPr>
          <w:rFonts w:ascii="仿宋_GB2312" w:hAnsi="仿宋_GB2312" w:cs="仿宋_GB2312" w:eastAsia="仿宋_GB2312"/>
          <w:sz w:val="24"/>
        </w:rPr>
        <w:t>1.2本项目采用统招分签方式，由厦门市卫生健康委员会作为采购人牵头统一组织采购，投标人中标后需分别和各个医院（即分签单位）签订采购合同，并就所供设备向所属医院负责。涉及的医院如下：</w:t>
      </w:r>
    </w:p>
    <w:p>
      <w:pPr>
        <w:pStyle w:val="null3"/>
        <w:ind w:left="420"/>
        <w:jc w:val="both"/>
      </w:pPr>
      <w:r>
        <w:rPr>
          <w:rFonts w:ascii="仿宋_GB2312" w:hAnsi="仿宋_GB2312" w:cs="仿宋_GB2312" w:eastAsia="仿宋_GB2312"/>
          <w:sz w:val="24"/>
          <w:b/>
        </w:rPr>
        <w:t>采购包</w:t>
      </w:r>
      <w:r>
        <w:rPr>
          <w:rFonts w:ascii="仿宋_GB2312" w:hAnsi="仿宋_GB2312" w:cs="仿宋_GB2312" w:eastAsia="仿宋_GB2312"/>
          <w:sz w:val="24"/>
          <w:b/>
        </w:rPr>
        <w:t>1：</w:t>
      </w:r>
    </w:p>
    <w:tbl>
      <w:tblPr>
        <w:tblW w:w="0" w:type="auto"/>
        <w:tblBorders>
          <w:top w:val="none" w:color="000000" w:sz="4"/>
          <w:left w:val="none" w:color="000000" w:sz="4"/>
          <w:bottom w:val="none" w:color="000000" w:sz="4"/>
          <w:right w:val="none" w:color="000000" w:sz="4"/>
          <w:insideH w:val="none"/>
          <w:insideV w:val="none"/>
        </w:tblBorders>
      </w:tblPr>
      <w:tblGrid>
        <w:gridCol w:w="1452"/>
        <w:gridCol w:w="5532"/>
        <w:gridCol w:w="1306"/>
      </w:tblGrid>
      <w:tr>
        <w:tc>
          <w:tcPr>
            <w:tcW w:type="dxa" w:w="14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b/>
              </w:rPr>
              <w:t>序号</w:t>
            </w:r>
          </w:p>
        </w:tc>
        <w:tc>
          <w:tcPr>
            <w:tcW w:type="dxa" w:w="55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b/>
              </w:rPr>
              <w:t>医院（即分签单位）</w:t>
            </w:r>
          </w:p>
        </w:tc>
        <w:tc>
          <w:tcPr>
            <w:tcW w:type="dxa" w:w="1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b/>
              </w:rPr>
              <w:t>数量（套）</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w:t>
            </w:r>
          </w:p>
        </w:tc>
        <w:tc>
          <w:tcPr>
            <w:tcW w:type="dxa" w:w="5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厦门大学附属心血管病医院</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w:t>
            </w:r>
          </w:p>
        </w:tc>
      </w:tr>
      <w:tr>
        <w:tc>
          <w:tcPr>
            <w:tcW w:type="dxa" w:w="69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b/>
              </w:rPr>
              <w:t>合计</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w:t>
            </w:r>
          </w:p>
        </w:tc>
      </w:tr>
    </w:tbl>
    <w:p>
      <w:pPr>
        <w:pStyle w:val="null3"/>
        <w:ind w:left="420"/>
        <w:jc w:val="both"/>
      </w:pPr>
      <w:r>
        <w:rPr>
          <w:rFonts w:ascii="仿宋_GB2312" w:hAnsi="仿宋_GB2312" w:cs="仿宋_GB2312" w:eastAsia="仿宋_GB2312"/>
          <w:sz w:val="24"/>
          <w:b/>
        </w:rPr>
        <w:t>采购包</w:t>
      </w:r>
      <w:r>
        <w:rPr>
          <w:rFonts w:ascii="仿宋_GB2312" w:hAnsi="仿宋_GB2312" w:cs="仿宋_GB2312" w:eastAsia="仿宋_GB2312"/>
          <w:sz w:val="24"/>
          <w:b/>
        </w:rPr>
        <w:t>2：</w:t>
      </w:r>
    </w:p>
    <w:tbl>
      <w:tblPr>
        <w:tblW w:w="0" w:type="auto"/>
        <w:tblBorders>
          <w:top w:val="none" w:color="000000" w:sz="4"/>
          <w:left w:val="none" w:color="000000" w:sz="4"/>
          <w:bottom w:val="none" w:color="000000" w:sz="4"/>
          <w:right w:val="none" w:color="000000" w:sz="4"/>
          <w:insideH w:val="none"/>
          <w:insideV w:val="none"/>
        </w:tblBorders>
      </w:tblPr>
      <w:tblGrid>
        <w:gridCol w:w="1384"/>
        <w:gridCol w:w="5274"/>
        <w:gridCol w:w="1619"/>
      </w:tblGrid>
      <w:tr>
        <w:tc>
          <w:tcPr>
            <w:tcW w:type="dxa" w:w="1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b/>
              </w:rPr>
              <w:t>序号</w:t>
            </w:r>
          </w:p>
        </w:tc>
        <w:tc>
          <w:tcPr>
            <w:tcW w:type="dxa" w:w="52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b/>
              </w:rPr>
              <w:t>医院（即分签单位）</w:t>
            </w:r>
          </w:p>
        </w:tc>
        <w:tc>
          <w:tcPr>
            <w:tcW w:type="dxa" w:w="16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b/>
              </w:rPr>
              <w:t>数量（套）</w:t>
            </w: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w:t>
            </w:r>
          </w:p>
        </w:tc>
        <w:tc>
          <w:tcPr>
            <w:tcW w:type="dxa" w:w="5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厦门大学附属第一医院</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w:t>
            </w:r>
          </w:p>
        </w:tc>
      </w:tr>
      <w:tr>
        <w:tc>
          <w:tcPr>
            <w:tcW w:type="dxa" w:w="66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b/>
              </w:rPr>
              <w:t>合计</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w:t>
            </w:r>
          </w:p>
        </w:tc>
      </w:tr>
    </w:tbl>
    <w:p>
      <w:pPr>
        <w:pStyle w:val="null3"/>
        <w:jc w:val="both"/>
      </w:pPr>
      <w:r>
        <w:rPr>
          <w:rFonts w:ascii="仿宋_GB2312" w:hAnsi="仿宋_GB2312" w:cs="仿宋_GB2312" w:eastAsia="仿宋_GB2312"/>
          <w:sz w:val="24"/>
        </w:rPr>
        <w:t>1.3本项目的核心产品为：</w:t>
      </w:r>
    </w:p>
    <w:p>
      <w:pPr>
        <w:pStyle w:val="null3"/>
        <w:ind w:left="420"/>
        <w:jc w:val="both"/>
      </w:pPr>
      <w:r>
        <w:rPr>
          <w:rFonts w:ascii="仿宋_GB2312" w:hAnsi="仿宋_GB2312" w:cs="仿宋_GB2312" w:eastAsia="仿宋_GB2312"/>
          <w:sz w:val="24"/>
        </w:rPr>
        <w:t>采购包</w:t>
      </w:r>
      <w:r>
        <w:rPr>
          <w:rFonts w:ascii="仿宋_GB2312" w:hAnsi="仿宋_GB2312" w:cs="仿宋_GB2312" w:eastAsia="仿宋_GB2312"/>
          <w:sz w:val="24"/>
        </w:rPr>
        <w:t>1：发药机。</w:t>
      </w:r>
    </w:p>
    <w:p>
      <w:pPr>
        <w:pStyle w:val="null3"/>
        <w:ind w:left="420"/>
        <w:jc w:val="both"/>
      </w:pPr>
      <w:r>
        <w:rPr>
          <w:rFonts w:ascii="仿宋_GB2312" w:hAnsi="仿宋_GB2312" w:cs="仿宋_GB2312" w:eastAsia="仿宋_GB2312"/>
          <w:sz w:val="24"/>
        </w:rPr>
        <w:t>采购包</w:t>
      </w:r>
      <w:r>
        <w:rPr>
          <w:rFonts w:ascii="仿宋_GB2312" w:hAnsi="仿宋_GB2312" w:cs="仿宋_GB2312" w:eastAsia="仿宋_GB2312"/>
          <w:sz w:val="24"/>
        </w:rPr>
        <w:t>2：门诊自动发药机。</w:t>
      </w:r>
    </w:p>
    <w:p>
      <w:pPr>
        <w:pStyle w:val="null3"/>
        <w:ind w:firstLine="480"/>
        <w:jc w:val="both"/>
      </w:pPr>
      <w:r>
        <w:rPr>
          <w:rFonts w:ascii="仿宋_GB2312" w:hAnsi="仿宋_GB2312" w:cs="仿宋_GB2312" w:eastAsia="仿宋_GB2312"/>
          <w:sz w:val="24"/>
        </w:rPr>
        <w:t>（注：多家投标人提供的核心产品中有任意一个对应产品品牌相同的，按照第四章第</w:t>
      </w:r>
      <w:r>
        <w:rPr>
          <w:rFonts w:ascii="仿宋_GB2312" w:hAnsi="仿宋_GB2312" w:cs="仿宋_GB2312" w:eastAsia="仿宋_GB2312"/>
          <w:sz w:val="24"/>
        </w:rPr>
        <w:t>6.4条第（2）款第①、②规定处理。）</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ind w:firstLine="480"/>
        <w:jc w:val="both"/>
      </w:pPr>
      <w:r>
        <w:rPr>
          <w:rFonts w:ascii="仿宋_GB2312" w:hAnsi="仿宋_GB2312" w:cs="仿宋_GB2312" w:eastAsia="仿宋_GB2312"/>
          <w:sz w:val="24"/>
          <w:b/>
        </w:rPr>
        <w:t>1.技术参数要求</w:t>
      </w:r>
    </w:p>
    <w:p>
      <w:pPr>
        <w:pStyle w:val="null3"/>
        <w:ind w:firstLine="480"/>
        <w:jc w:val="both"/>
      </w:pPr>
      <w:r>
        <w:rPr>
          <w:rFonts w:ascii="仿宋_GB2312" w:hAnsi="仿宋_GB2312" w:cs="仿宋_GB2312" w:eastAsia="仿宋_GB2312"/>
          <w:sz w:val="24"/>
          <w:b/>
        </w:rPr>
        <w:t>采购包</w:t>
      </w:r>
      <w:r>
        <w:rPr>
          <w:rFonts w:ascii="仿宋_GB2312" w:hAnsi="仿宋_GB2312" w:cs="仿宋_GB2312" w:eastAsia="仿宋_GB2312"/>
          <w:sz w:val="24"/>
          <w:b/>
        </w:rPr>
        <w:t>1：</w:t>
      </w:r>
    </w:p>
    <w:p>
      <w:pPr>
        <w:pStyle w:val="null3"/>
        <w:ind w:firstLine="480"/>
        <w:jc w:val="both"/>
      </w:pPr>
      <w:r>
        <w:rPr>
          <w:rFonts w:ascii="仿宋_GB2312" w:hAnsi="仿宋_GB2312" w:cs="仿宋_GB2312" w:eastAsia="仿宋_GB2312"/>
          <w:sz w:val="24"/>
          <w:b/>
        </w:rPr>
        <w:t>1.1技术参数要求</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930"/>
        <w:gridCol w:w="7350"/>
      </w:tblGrid>
      <w:tr>
        <w:tc>
          <w:tcPr>
            <w:tcW w:type="dxa" w:w="9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全自动快速发药机技术要求</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7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★设备需要与医院现有的所有药房自动化设备及系统（按照分签单位需求，包括但不限于现有自动发药机系统、片剂摆药机系统、毒麻药品管理柜系统等）、医院信息系统(按照分签单位需求，包括但不限于 HIS、LIS、PACS等)接口兼容且无缝链接，响应供应商需承诺所投设备数据接口开放且</w:t>
            </w:r>
            <w:r>
              <w:rPr>
                <w:rFonts w:ascii="仿宋_GB2312" w:hAnsi="仿宋_GB2312" w:cs="仿宋_GB2312" w:eastAsia="仿宋_GB2312"/>
                <w:sz w:val="21"/>
              </w:rPr>
              <w:t>不额外收费</w:t>
            </w:r>
            <w:r>
              <w:rPr>
                <w:rFonts w:ascii="仿宋_GB2312" w:hAnsi="仿宋_GB2312" w:cs="仿宋_GB2312" w:eastAsia="仿宋_GB2312"/>
                <w:sz w:val="24"/>
              </w:rPr>
              <w:t>，无偿提供技术协助及硬件支持，满足分签单位的数据采集要求，并承诺承担药房改造所产生的所有费用（包括但不限于药房基建改造、强弱电改造、原设备移位等）</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7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全自动发药机药品储存要求：品种数</w:t>
            </w:r>
            <w:r>
              <w:rPr>
                <w:rFonts w:ascii="仿宋_GB2312" w:hAnsi="仿宋_GB2312" w:cs="仿宋_GB2312" w:eastAsia="仿宋_GB2312"/>
                <w:sz w:val="24"/>
              </w:rPr>
              <w:t>≥1400种，储药量≥17000盒。（提供设备技术说明书证明）</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7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根据医院实际工作及未来发展需求和现场条件，药房设备（包含原药房自动化设备）需重新布局。以药房中轴线为中心，发药机对称分布在中轴线两侧，色调须与现有发药机协调一致。在满足我院药品储存要求前提下，发药机主机的正面宽度≤6米，厚度≤2.5米。发药机系统总占地面积≤15平米。(提供设备技术说明书，平面设计图(须标注精确尺寸)，3D设计图(须标注精确尺寸)，3D渲染图(须标注精确尺寸)等证明)</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7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全自动发药机的发药系统和补药系统为相对独立的模块，发药和补药的工作可以同时进行，二者互不影响</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7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全自动发药机必须具备：设备出现故障时，可让药师手工拿到所有机内储存药品进行应急发药的功能。（提供具有</w:t>
            </w:r>
            <w:r>
              <w:rPr>
                <w:rFonts w:ascii="仿宋_GB2312" w:hAnsi="仿宋_GB2312" w:cs="仿宋_GB2312" w:eastAsia="仿宋_GB2312"/>
                <w:sz w:val="24"/>
              </w:rPr>
              <w:t>CNAS或CMA认证的第三方检测报告证明）</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7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★全自动发药机的储药主机单元所有药品的储存模式为：斜槽式存储；采用一种药品对应一条指定储药斜槽的定位储药模式。（提供设备药槽部件的实物图片证明）</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7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▲发药机内储存的药品应按照单品种储存在独立的药槽中，每种药品的药盒必须基于药槽水平放置，放置高度必须为药品药盒最短边的长度。（提供具有CNAS或CMA认证的第三方检测报告证明）</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7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★药槽结构为无动力滑轨（非助力药槽、非密集滚珠式助力药槽），每根独立储存药槽均能调节宽度，以适用于各种规格不同的药品。（提供具有CNAS或CMA认证的第三方检测报告证明）</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7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发药机发药速度</w:t>
            </w:r>
            <w:r>
              <w:rPr>
                <w:rFonts w:ascii="仿宋_GB2312" w:hAnsi="仿宋_GB2312" w:cs="仿宋_GB2312" w:eastAsia="仿宋_GB2312"/>
                <w:sz w:val="24"/>
              </w:rPr>
              <w:t>≥2500盒/时，处方处理能力≥500张/时。（提供具有CNAS或CMA认证的第三方检测报告证明）</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1.10</w:t>
            </w:r>
          </w:p>
        </w:tc>
        <w:tc>
          <w:tcPr>
            <w:tcW w:type="dxa" w:w="7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▲发药机发药方式为全品种同时自由重力落药、设备底部接药方式，以确保在设备故障时可人工应急发药。（提供具有CNAS或CMA认证的第三方检测报告证明）</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1.11</w:t>
            </w:r>
          </w:p>
        </w:tc>
        <w:tc>
          <w:tcPr>
            <w:tcW w:type="dxa" w:w="7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机加药机械手与补药人员之间须具备补药缓存系统（或自动加药预缓存机）进行间隔，同时进行待加药品的预缓存处理，补药人员上药工作和机械手的自动补药工作可同时进行，以提高补药速度、防止人身伤害。（提供设备照片证明及技术说明书证明）</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1.12</w:t>
            </w:r>
          </w:p>
        </w:tc>
        <w:tc>
          <w:tcPr>
            <w:tcW w:type="dxa" w:w="7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自动加药预缓存机具备瓶装药品批量补药缓存系统，瓶装药品补药缓存通道</w:t>
            </w:r>
            <w:r>
              <w:rPr>
                <w:rFonts w:ascii="仿宋_GB2312" w:hAnsi="仿宋_GB2312" w:cs="仿宋_GB2312" w:eastAsia="仿宋_GB2312"/>
                <w:sz w:val="24"/>
              </w:rPr>
              <w:t>≥4条，瓶装药品补药缓存量≥20瓶。（提供具有CNAS或CMA认证的第三方检测报告证明）</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1.13</w:t>
            </w:r>
          </w:p>
        </w:tc>
        <w:tc>
          <w:tcPr>
            <w:tcW w:type="dxa" w:w="7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瓶装药批量补药缓存系统具备盒装药批量补药缓存功能，在必要时可以转换进行盒装药的批量补药缓存。（提供设备部件的</w:t>
            </w:r>
            <w:r>
              <w:rPr>
                <w:rFonts w:ascii="仿宋_GB2312" w:hAnsi="仿宋_GB2312" w:cs="仿宋_GB2312" w:eastAsia="仿宋_GB2312"/>
                <w:sz w:val="24"/>
              </w:rPr>
              <w:t>2张实物图片证明）</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1.14</w:t>
            </w:r>
          </w:p>
        </w:tc>
        <w:tc>
          <w:tcPr>
            <w:tcW w:type="dxa" w:w="7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▲瓶装药批量补药缓存系统可单次、同时将≥10瓶药品输入主机加药机械手内，输入速度≤1秒，确保补药速度。（提供具有CNAS或CMA认证的第三方检测报告证明）</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1.15</w:t>
            </w:r>
          </w:p>
        </w:tc>
        <w:tc>
          <w:tcPr>
            <w:tcW w:type="dxa" w:w="7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主机加药机械手单次运行可同时携带</w:t>
            </w:r>
            <w:r>
              <w:rPr>
                <w:rFonts w:ascii="仿宋_GB2312" w:hAnsi="仿宋_GB2312" w:cs="仿宋_GB2312" w:eastAsia="仿宋_GB2312"/>
                <w:sz w:val="24"/>
              </w:rPr>
              <w:t>≥2种药品且≥10盒（或瓶）进行自动补药作业。（提供具有CNAS或CMA认证的第三方检测报告证明）</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1.16</w:t>
            </w:r>
          </w:p>
        </w:tc>
        <w:tc>
          <w:tcPr>
            <w:tcW w:type="dxa" w:w="7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机加药机械手具备错误药品自动回收功能。在加药作业出现卡药故障时，主机加药机械手可自动将被卡的药品回退至储药主机内部的药品回收站，并自动恢复补药工作，无需人工干预，实现卡药不停机工作。（提供具有CNAS或CMA认证的第三方检测报告证明）</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1.17</w:t>
            </w:r>
          </w:p>
        </w:tc>
        <w:tc>
          <w:tcPr>
            <w:tcW w:type="dxa" w:w="7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主机加药机械手具备能根据药盒大小自动调节尺寸的功能。</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1.18</w:t>
            </w:r>
          </w:p>
        </w:tc>
        <w:tc>
          <w:tcPr>
            <w:tcW w:type="dxa" w:w="7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具备补药全程实时监控功能，监控系统集成于设备内部。（提供具有</w:t>
            </w:r>
            <w:r>
              <w:rPr>
                <w:rFonts w:ascii="仿宋_GB2312" w:hAnsi="仿宋_GB2312" w:cs="仿宋_GB2312" w:eastAsia="仿宋_GB2312"/>
                <w:sz w:val="24"/>
              </w:rPr>
              <w:t>CNAS或CMA认证的第三方检测报告证明）</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1.19</w:t>
            </w:r>
          </w:p>
        </w:tc>
        <w:tc>
          <w:tcPr>
            <w:tcW w:type="dxa" w:w="7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▲发药机整体加药速度≥3000盒/小时。（提供具有CNAS或CMA认证的第三方检测报告证明）</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1.20</w:t>
            </w:r>
          </w:p>
        </w:tc>
        <w:tc>
          <w:tcPr>
            <w:tcW w:type="dxa" w:w="7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▲具备自动盘点功能，盘点方式采用激光计数，可不停机盘点，整机盘点时间≤30分钟。（提供具有CNAS或CMA认证的第三方检测报告证明）</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1.21</w:t>
            </w:r>
          </w:p>
        </w:tc>
        <w:tc>
          <w:tcPr>
            <w:tcW w:type="dxa" w:w="7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对相同药品不同规格或形似药品或高危药品自动二次提醒功能，确保药品补充正确性。（提供设备技术说明书证明）</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1.22</w:t>
            </w:r>
          </w:p>
        </w:tc>
        <w:tc>
          <w:tcPr>
            <w:tcW w:type="dxa" w:w="7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至少可通过扫描药品条码、二维码、药品追溯码、快速输入药品名称等方式确认补药品种。</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自动批量补药机技术要求</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7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发药机具备盒装药批量补药预缓存系统。批量补药预缓存系统具备</w:t>
            </w:r>
            <w:r>
              <w:rPr>
                <w:rFonts w:ascii="仿宋_GB2312" w:hAnsi="仿宋_GB2312" w:cs="仿宋_GB2312" w:eastAsia="仿宋_GB2312"/>
                <w:sz w:val="24"/>
              </w:rPr>
              <w:t>≥20个预存通道，可预存药品≥1000盒，发药机具备无人干预自动加药功能。（提供设备部件的实物图片证明以证明）</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7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盒装药自动批量补药通道的药品预缓存方式：纵向叠加方式，放置高度为药盒最短边长度。（提供设备部件的实物图片证明以证明）</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7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设备与发药机无缝链接，自动传输发药机发出的药品至混合药品调配区域。传输速度</w:t>
            </w:r>
            <w:r>
              <w:rPr>
                <w:rFonts w:ascii="仿宋_GB2312" w:hAnsi="仿宋_GB2312" w:cs="仿宋_GB2312" w:eastAsia="仿宋_GB2312"/>
                <w:sz w:val="24"/>
              </w:rPr>
              <w:t>≥2米每秒，速度可调节。</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双工位绑定台技术要求</w:t>
            </w:r>
          </w:p>
        </w:tc>
      </w:tr>
      <w:tr>
        <w:tc>
          <w:tcPr>
            <w:tcW w:type="dxa" w:w="82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可同时支持</w:t>
            </w:r>
            <w:r>
              <w:rPr>
                <w:rFonts w:ascii="仿宋_GB2312" w:hAnsi="仿宋_GB2312" w:cs="仿宋_GB2312" w:eastAsia="仿宋_GB2312"/>
                <w:sz w:val="24"/>
              </w:rPr>
              <w:t>≥2位药师同时工作。具备自动分离出无发药机内药品的处方并与智能药筐自动绑定的功能。具备自动触发、唤醒智能药筐的功能，使智能药筐从休眠状态进入工作状态。具备自动打印调配清单的功能，清单应包括调药信息、患者信息、用药交代等内容</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预配缓存机技术要求</w:t>
            </w:r>
          </w:p>
        </w:tc>
      </w:tr>
      <w:tr>
        <w:tc>
          <w:tcPr>
            <w:tcW w:type="dxa" w:w="82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具备缓存输送由后台药师调配好的混合处方药筐，缓存量：</w:t>
            </w:r>
            <w:r>
              <w:rPr>
                <w:rFonts w:ascii="仿宋_GB2312" w:hAnsi="仿宋_GB2312" w:cs="仿宋_GB2312" w:eastAsia="仿宋_GB2312"/>
                <w:sz w:val="24"/>
              </w:rPr>
              <w:t>≥4个。具备药筐控制阀和光感传感器，可自动控制药筐输出。具备药师工作卡读卡装置，可对后台调配药师进行工作量的统计。</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地面传输线技术要求</w:t>
            </w:r>
          </w:p>
        </w:tc>
      </w:tr>
      <w:tr>
        <w:tc>
          <w:tcPr>
            <w:tcW w:type="dxa" w:w="82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采用双线式输送模式，具备二套药筐控制阀和光感传感器，可自动控制药筐输出频次。（提供设备照片说明）</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智能药篮技术要求</w:t>
            </w:r>
          </w:p>
        </w:tc>
      </w:tr>
      <w:tr>
        <w:tc>
          <w:tcPr>
            <w:tcW w:type="dxa" w:w="82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可与处方信息绑定，承载处方药品，可由传送系统传输至各发药窗口，亮灯提示处方药品位置，无需固定位置摆放。具备双色亮灯提示在同一个自动缓存架的不同窗口的发药。</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7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自动窗口缓存架技术要求</w:t>
            </w:r>
          </w:p>
        </w:tc>
      </w:tr>
      <w:tr>
        <w:tc>
          <w:tcPr>
            <w:tcW w:type="dxa" w:w="82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具备三层自动缓存，每层缓存量</w:t>
            </w:r>
            <w:r>
              <w:rPr>
                <w:rFonts w:ascii="仿宋_GB2312" w:hAnsi="仿宋_GB2312" w:cs="仿宋_GB2312" w:eastAsia="仿宋_GB2312"/>
                <w:sz w:val="24"/>
              </w:rPr>
              <w:t>≥2个筐。底层具有自动传送装置，具备传送和缓存功能。所有自动缓存货位具备独立传感器，可自动感知新到药筐和被取走药筐情况。具备独立升降机，可自动将底层药筐输送至上层缓存，方便药师拿取。</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7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回筐线技术要求</w:t>
            </w:r>
          </w:p>
        </w:tc>
      </w:tr>
      <w:tr>
        <w:tc>
          <w:tcPr>
            <w:tcW w:type="dxa" w:w="82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采用双线式输送模式，具备二套药筐控制阀和光感传感器，可自动控制药筐输出频次。具备多筐、无间隙、同时、无噪音传送，实现高效传输。</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7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码筐机技术要求</w:t>
            </w:r>
          </w:p>
        </w:tc>
      </w:tr>
      <w:tr>
        <w:tc>
          <w:tcPr>
            <w:tcW w:type="dxa" w:w="82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具备与发药机和传输线无缝对接，药筐缓存量：</w:t>
            </w:r>
            <w:r>
              <w:rPr>
                <w:rFonts w:ascii="仿宋_GB2312" w:hAnsi="仿宋_GB2312" w:cs="仿宋_GB2312" w:eastAsia="仿宋_GB2312"/>
                <w:sz w:val="24"/>
              </w:rPr>
              <w:t>≥30个。</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原设备直发螺旋改造技术要求</w:t>
            </w:r>
          </w:p>
        </w:tc>
      </w:tr>
      <w:tr>
        <w:tc>
          <w:tcPr>
            <w:tcW w:type="dxa" w:w="82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★原门诊发药机移机后，直发通道和螺旋滑道需要根据新场地进行升级适配，以保证直发窗口的正常工作。</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7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机内追溯码模块技术要求</w:t>
            </w:r>
          </w:p>
        </w:tc>
      </w:tr>
      <w:tr>
        <w:tc>
          <w:tcPr>
            <w:tcW w:type="dxa" w:w="82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模块位于发药机内部，无需外接设备，发药机出药同时扫描药品追溯码并上传。影像式扫描，分辦率：最小可识别条宽</w:t>
            </w:r>
            <w:r>
              <w:rPr>
                <w:rFonts w:ascii="仿宋_GB2312" w:hAnsi="仿宋_GB2312" w:cs="仿宋_GB2312" w:eastAsia="仿宋_GB2312"/>
                <w:sz w:val="24"/>
              </w:rPr>
              <w:t>≤0.08毫米；内置LED补光。支持多组模块同时使用。单模块处理速度≥600盒/h</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7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药品智能配送系统技术要求</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12.1</w:t>
            </w:r>
          </w:p>
        </w:tc>
        <w:tc>
          <w:tcPr>
            <w:tcW w:type="dxa" w:w="7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（十三）载重</w:t>
            </w:r>
            <w:r>
              <w:rPr>
                <w:rFonts w:ascii="仿宋_GB2312" w:hAnsi="仿宋_GB2312" w:cs="仿宋_GB2312" w:eastAsia="仿宋_GB2312"/>
                <w:sz w:val="24"/>
              </w:rPr>
              <w:t>≥200kg，货柜总容积≥300L，柜体/柜门数量≥4个或支持定制。支持部署院内服务器，不可采用云端或院外服务器，确保信息及数据不外泄。（提供承诺书）</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12.2</w:t>
            </w:r>
          </w:p>
        </w:tc>
        <w:tc>
          <w:tcPr>
            <w:tcW w:type="dxa" w:w="7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鉴权方式</w:t>
            </w:r>
            <w:r>
              <w:rPr>
                <w:rFonts w:ascii="仿宋_GB2312" w:hAnsi="仿宋_GB2312" w:cs="仿宋_GB2312" w:eastAsia="仿宋_GB2312"/>
                <w:sz w:val="24"/>
              </w:rPr>
              <w:t>≥3种；包含但不限于刷卡识别、人脸识别、指纹识别。电池续航：充电时间≤3h(至电量95%以上）；满载续航≥12h。（提供具有CNAS或CMA认证的第三方检测报告证明）</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12.3</w:t>
            </w:r>
          </w:p>
        </w:tc>
        <w:tc>
          <w:tcPr>
            <w:tcW w:type="dxa" w:w="7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需采用基于物联网平台的国产操作系统（如鸿蒙系统），确保信息安全。（提供软著证书证明文件或其他官方认证文件）</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7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可视化中央监控系统技术要求</w:t>
            </w:r>
          </w:p>
        </w:tc>
      </w:tr>
      <w:tr>
        <w:tc>
          <w:tcPr>
            <w:tcW w:type="dxa" w:w="82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能与医院</w:t>
            </w:r>
            <w:r>
              <w:rPr>
                <w:rFonts w:ascii="仿宋_GB2312" w:hAnsi="仿宋_GB2312" w:cs="仿宋_GB2312" w:eastAsia="仿宋_GB2312"/>
                <w:sz w:val="24"/>
              </w:rPr>
              <w:t>his系统，处方管理系统，自动化药房管理系统等系统无缝连接。能实时显示药剂科当前工作状态；实时显示各发药窗口工作状态。实时显示当天发药窗口数据统计；数据显示模式可按医院要求定制。系统数据可存储进行闭环追溯。</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7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原设备移位改造技术要求</w:t>
            </w:r>
          </w:p>
        </w:tc>
      </w:tr>
      <w:tr>
        <w:tc>
          <w:tcPr>
            <w:tcW w:type="dxa" w:w="82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★原设备移位改造过程中所需更换的所有零配件须与原设备配套，移位改造后不改变设备原有性能。</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7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基建改造要求</w:t>
            </w:r>
          </w:p>
        </w:tc>
      </w:tr>
      <w:tr>
        <w:tc>
          <w:tcPr>
            <w:tcW w:type="dxa" w:w="82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★需承担项目包含所需基建改造。提供具体改造方案（包含药房现场设计图(须标注精确尺寸)，3D渲染图(须标注精确尺寸)、设备定位图(须标注精确尺寸)，强弱电布线图(须标注精确尺寸)等）</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7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智能化药房管理软件系统</w:t>
            </w:r>
          </w:p>
        </w:tc>
      </w:tr>
      <w:tr>
        <w:tc>
          <w:tcPr>
            <w:tcW w:type="dxa" w:w="82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所有软件控制系统使用</w:t>
            </w:r>
            <w:r>
              <w:rPr>
                <w:rFonts w:ascii="仿宋_GB2312" w:hAnsi="仿宋_GB2312" w:cs="仿宋_GB2312" w:eastAsia="仿宋_GB2312"/>
                <w:sz w:val="24"/>
              </w:rPr>
              <w:t>TCP及DB双重方式与HIS系统进行数据交换，具备数据库服务器RAID备份与防病毒系统，保障数据存储安全。设备具备网络管理功能，多台设备可以协同工作。全中文触摸操作系统，支持一维、二维条码及药品追溯码的识别系统。</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7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具备对发药，补药过程的监视功能，一旦出现故障，系统自动停止工作，同时报警和提示故障位置，屏蔽故障药槽，不影响其他药槽工作。具备药品库存上下限设置功能，当药品库存低于设定下限时，系统会自动提示需要补充的品种和数量。如药品库存大于上限时，系统会自动提示药品卸货品种和数量。具备手动（自动）药品档案，药品尺寸，药品图片，药槽对应等基本信息的调整功能，保证药品信息的准确与药品存储的合理。</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7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药品批号、效期管理功能，具备机内药品查询统计功能，至少包含当前库存查询、当前库存批号查询、一定日期内的发药量、已发药药品信息查询统计等。具有专用出药口对近效期药品和近期无发药药品进行自动下架功能。具备补货智能分析与分配系统，合理分配各发药机补货品种数量功能。</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7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具备通过识别药品条形码确认补药品种与数量功能。无条码药品可以通过自制条码或屏幕直接选择药品的方式确认补药品种与数量。具备发药窗口智能分配排号系统，可根据窗口开放情况，药品库存，排队情况</w:t>
            </w:r>
            <w:r>
              <w:rPr>
                <w:rFonts w:ascii="仿宋_GB2312" w:hAnsi="仿宋_GB2312" w:cs="仿宋_GB2312" w:eastAsia="仿宋_GB2312"/>
                <w:sz w:val="24"/>
              </w:rPr>
              <w:t>分配取药窗口号。如网络中断，无法从</w:t>
            </w:r>
            <w:r>
              <w:rPr>
                <w:rFonts w:ascii="仿宋_GB2312" w:hAnsi="仿宋_GB2312" w:cs="仿宋_GB2312" w:eastAsia="仿宋_GB2312"/>
                <w:sz w:val="24"/>
              </w:rPr>
              <w:t>HIS得到处方信息，可以手动输入处方发药。</w:t>
            </w:r>
          </w:p>
        </w:tc>
      </w:tr>
    </w:tbl>
    <w:p>
      <w:pPr>
        <w:pStyle w:val="null3"/>
        <w:ind w:firstLine="480"/>
        <w:jc w:val="both"/>
      </w:pPr>
      <w:r>
        <w:rPr>
          <w:rFonts w:ascii="仿宋_GB2312" w:hAnsi="仿宋_GB2312" w:cs="仿宋_GB2312" w:eastAsia="仿宋_GB2312"/>
          <w:sz w:val="24"/>
          <w:b/>
        </w:rPr>
        <w:t>1.2配置清单</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095"/>
        <w:gridCol w:w="4860"/>
        <w:gridCol w:w="990"/>
        <w:gridCol w:w="1275"/>
      </w:tblGrid>
      <w:tr>
        <w:tc>
          <w:tcPr>
            <w:tcW w:type="dxa" w:w="10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8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配置清单</w:t>
            </w:r>
          </w:p>
        </w:tc>
        <w:tc>
          <w:tcPr>
            <w:tcW w:type="dxa" w:w="9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全自动发药机</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自动批量补药机</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出药传送皮带</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双工位绑定台</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预配缓存机</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地面传输线</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智能药篮</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自动窗口缓存架</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回筐线</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码筐机</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直发螺旋改造</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机内追溯码模块</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高拍仪</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药品智能配送系统</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4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可视化中央监控系统</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4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原设备移位以及改造</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4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基建改造</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4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自动化药房管理软件</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bl>
    <w:p>
      <w:pPr>
        <w:pStyle w:val="null3"/>
        <w:ind w:firstLine="480"/>
        <w:jc w:val="both"/>
      </w:pPr>
      <w:r>
        <w:rPr>
          <w:rFonts w:ascii="仿宋_GB2312" w:hAnsi="仿宋_GB2312" w:cs="仿宋_GB2312" w:eastAsia="仿宋_GB2312"/>
          <w:sz w:val="24"/>
          <w:b/>
        </w:rPr>
        <w:t>采购包</w:t>
      </w:r>
      <w:r>
        <w:rPr>
          <w:rFonts w:ascii="仿宋_GB2312" w:hAnsi="仿宋_GB2312" w:cs="仿宋_GB2312" w:eastAsia="仿宋_GB2312"/>
          <w:sz w:val="24"/>
          <w:b/>
        </w:rPr>
        <w:t>2：</w:t>
      </w:r>
    </w:p>
    <w:p>
      <w:pPr>
        <w:pStyle w:val="null3"/>
        <w:ind w:firstLine="480"/>
        <w:jc w:val="both"/>
      </w:pPr>
      <w:r>
        <w:rPr>
          <w:rFonts w:ascii="仿宋_GB2312" w:hAnsi="仿宋_GB2312" w:cs="仿宋_GB2312" w:eastAsia="仿宋_GB2312"/>
          <w:sz w:val="24"/>
          <w:b/>
        </w:rPr>
        <w:t>1.3技术参数要求</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825"/>
        <w:gridCol w:w="7395"/>
      </w:tblGrid>
      <w:tr>
        <w:tc>
          <w:tcPr>
            <w:tcW w:type="dxa" w:w="8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73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全自动快速发药机技术要求</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1.1</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★全自动快速发药机技术要求：</w:t>
            </w:r>
            <w:r>
              <w:br/>
            </w:r>
            <w:r>
              <w:rPr>
                <w:rFonts w:ascii="仿宋_GB2312" w:hAnsi="仿宋_GB2312" w:cs="仿宋_GB2312" w:eastAsia="仿宋_GB2312"/>
                <w:sz w:val="24"/>
              </w:rPr>
              <w:t>设备需要与医院现有的所有药房自动化设备及系统（按照分签单位需求，包括但不限于现有自动发药机系统、片剂摆药机系统、毒麻药品管理柜系统等）、医院信息系统</w:t>
            </w:r>
            <w:r>
              <w:rPr>
                <w:rFonts w:ascii="仿宋_GB2312" w:hAnsi="仿宋_GB2312" w:cs="仿宋_GB2312" w:eastAsia="仿宋_GB2312"/>
                <w:sz w:val="24"/>
              </w:rPr>
              <w:t>(按照分签单位需求，包括但不限于 HIS、LIS、PACS等)接口兼容且无缝链接，响应供应商需承诺所投设备数据接口开放</w:t>
            </w:r>
            <w:r>
              <w:rPr>
                <w:rFonts w:ascii="仿宋_GB2312" w:hAnsi="仿宋_GB2312" w:cs="仿宋_GB2312" w:eastAsia="仿宋_GB2312"/>
                <w:sz w:val="24"/>
              </w:rPr>
              <w:t>且不额外收费</w:t>
            </w:r>
            <w:r>
              <w:rPr>
                <w:rFonts w:ascii="仿宋_GB2312" w:hAnsi="仿宋_GB2312" w:cs="仿宋_GB2312" w:eastAsia="仿宋_GB2312"/>
                <w:sz w:val="24"/>
              </w:rPr>
              <w:t>，无偿提供技术协助及硬件支持，满足分签单位的数据采集要求，并承诺承担药房改造所产生的所有费用（包括但不限于药房基建改造、强弱电改造、原设备移位等）</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1.2</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5"/>
              </w:rPr>
              <w:t>▲（1）系统须与医院HIS无缝链接，确保医嘱和处方信息无障碍传输，整套设备系统的控制软件操作界面为简体中文。</w:t>
            </w:r>
            <w:r>
              <w:br/>
            </w:r>
            <w:r>
              <w:rPr>
                <w:rFonts w:ascii="仿宋_GB2312" w:hAnsi="仿宋_GB2312" w:cs="仿宋_GB2312" w:eastAsia="仿宋_GB2312"/>
                <w:sz w:val="25"/>
              </w:rPr>
              <w:t>▲（2）系统能够根据HIS指令调配处方，可满足各种规格药品的调剂和发放。设备须满足≥3000张/日处方量的工作需求，为保证工作效率，设备加药与发药互相独立，互不影响。</w:t>
            </w:r>
            <w:r>
              <w:br/>
            </w:r>
            <w:r>
              <w:rPr>
                <w:rFonts w:ascii="仿宋_GB2312" w:hAnsi="仿宋_GB2312" w:cs="仿宋_GB2312" w:eastAsia="仿宋_GB2312"/>
                <w:sz w:val="25"/>
              </w:rPr>
              <w:t>▲（3）因本次招标设备为非医疗设备，为机电自动化设备，所有自动化药房系统配置核心设备（包含自助发药机、嵌入高发机、智能电子药框、智能调配机、麻精药品管理机等）</w:t>
            </w:r>
            <w:r>
              <w:rPr>
                <w:rFonts w:ascii="仿宋_GB2312" w:hAnsi="仿宋_GB2312" w:cs="仿宋_GB2312" w:eastAsia="仿宋_GB2312"/>
                <w:sz w:val="25"/>
                <w:b/>
              </w:rPr>
              <w:t>需提供第三方检测机构检测带有</w:t>
            </w:r>
            <w:r>
              <w:rPr>
                <w:rFonts w:ascii="仿宋_GB2312" w:hAnsi="仿宋_GB2312" w:cs="仿宋_GB2312" w:eastAsia="仿宋_GB2312"/>
                <w:sz w:val="25"/>
                <w:b/>
              </w:rPr>
              <w:t>CMA或CNAS标识的认证，应标企业的应标产品可自行申请检测。</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1.3</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5"/>
              </w:rPr>
              <w:t>▲为保障处方流转和数据采集的安全性，生产企业应至少具备质量体系认证，信息技术服务管理体系认证、信息安全管理体系认证。</w:t>
            </w:r>
            <w:r>
              <w:rPr>
                <w:rFonts w:ascii="仿宋_GB2312" w:hAnsi="仿宋_GB2312" w:cs="仿宋_GB2312" w:eastAsia="仿宋_GB2312"/>
                <w:sz w:val="25"/>
                <w:b/>
              </w:rPr>
              <w:t>（</w:t>
            </w:r>
            <w:r>
              <w:rPr>
                <w:rFonts w:ascii="仿宋_GB2312" w:hAnsi="仿宋_GB2312" w:cs="仿宋_GB2312" w:eastAsia="仿宋_GB2312"/>
                <w:sz w:val="25"/>
                <w:b/>
              </w:rPr>
              <w:t>需提供</w:t>
            </w:r>
            <w:r>
              <w:rPr>
                <w:rFonts w:ascii="仿宋_GB2312" w:hAnsi="仿宋_GB2312" w:cs="仿宋_GB2312" w:eastAsia="仿宋_GB2312"/>
                <w:sz w:val="25"/>
                <w:b/>
              </w:rPr>
              <w:t>质量体系认证、信息技术服务管理体系认证、信息安全管理体系认证证书进行佐证，否则视为不满足）</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1.4</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5"/>
              </w:rPr>
              <w:t>★为保证系统运行的稳定性、兼容性，要求整套系统所有设备及系统软件须为同一品牌。</w:t>
            </w:r>
            <w:r>
              <w:rPr>
                <w:rFonts w:ascii="仿宋_GB2312" w:hAnsi="仿宋_GB2312" w:cs="仿宋_GB2312" w:eastAsia="仿宋_GB2312"/>
                <w:sz w:val="25"/>
                <w:b/>
              </w:rPr>
              <w:t>（</w:t>
            </w:r>
            <w:r>
              <w:rPr>
                <w:rFonts w:ascii="仿宋_GB2312" w:hAnsi="仿宋_GB2312" w:cs="仿宋_GB2312" w:eastAsia="仿宋_GB2312"/>
                <w:sz w:val="25"/>
                <w:b/>
              </w:rPr>
              <w:t>需</w:t>
            </w:r>
            <w:r>
              <w:rPr>
                <w:rFonts w:ascii="仿宋_GB2312" w:hAnsi="仿宋_GB2312" w:cs="仿宋_GB2312" w:eastAsia="仿宋_GB2312"/>
                <w:sz w:val="25"/>
                <w:b/>
              </w:rPr>
              <w:t>作出响应承诺并明确品牌，否则视为不满足）</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自助发药机</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2.1</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整机能够接收处方分发指令信息，按照要求自动分发盒装药品。同时能够通过人工授权干预，分发所需药品。</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2.2</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整机设备与医院</w:t>
            </w:r>
            <w:r>
              <w:rPr>
                <w:rFonts w:ascii="仿宋_GB2312" w:hAnsi="仿宋_GB2312" w:cs="仿宋_GB2312" w:eastAsia="仿宋_GB2312"/>
                <w:sz w:val="24"/>
              </w:rPr>
              <w:t>HIS系统无缝链接，自动接收处方信息，设备根据信息指令自动分发药品。</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2.3</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整机设备至少包含储药单元、发药单元、补药单元、传输单元和控制操作单元。</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2.4</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储药单元为模块化，根据需求，模块化自由组合。整机储药形式为倾斜式密集储药槽位存储药品方式。</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2.5</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整机存储</w:t>
            </w:r>
            <w:r>
              <w:rPr>
                <w:rFonts w:ascii="仿宋_GB2312" w:hAnsi="仿宋_GB2312" w:cs="仿宋_GB2312" w:eastAsia="仿宋_GB2312"/>
                <w:sz w:val="24"/>
              </w:rPr>
              <w:t>≥18000盒药品和≥950个药品品规。</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2.6</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5"/>
              </w:rPr>
              <w:t>★为利于药品发药顺滑，单个储药槽位表面（与药品接触面）选择密集滚动助力或其他助力方式，保证发药准确性，避免误差。</w:t>
            </w:r>
            <w:r>
              <w:rPr>
                <w:rFonts w:ascii="仿宋_GB2312" w:hAnsi="仿宋_GB2312" w:cs="仿宋_GB2312" w:eastAsia="仿宋_GB2312"/>
                <w:sz w:val="25"/>
                <w:b/>
              </w:rPr>
              <w:t>（</w:t>
            </w:r>
            <w:r>
              <w:rPr>
                <w:rFonts w:ascii="仿宋_GB2312" w:hAnsi="仿宋_GB2312" w:cs="仿宋_GB2312" w:eastAsia="仿宋_GB2312"/>
                <w:sz w:val="25"/>
                <w:b/>
              </w:rPr>
              <w:t>需</w:t>
            </w:r>
            <w:r>
              <w:rPr>
                <w:rFonts w:ascii="仿宋_GB2312" w:hAnsi="仿宋_GB2312" w:cs="仿宋_GB2312" w:eastAsia="仿宋_GB2312"/>
                <w:sz w:val="25"/>
                <w:b/>
              </w:rPr>
              <w:t>提供实物照片，并且提供产品彩页，或制造商官网介绍截图，或产品技术说明书，或检测报告等进行佐证，否则视为不满足）</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2.7</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5"/>
              </w:rPr>
              <w:t>▲应用补药机械手进行快速自动补充药品，机械手可执行单次多通道同时同步补药方式，单次可补充多个品种的药品，同时单次可补充≥40盒药品（不含机械手之外的缓存装置）。</w:t>
            </w:r>
            <w:r>
              <w:rPr>
                <w:rFonts w:ascii="仿宋_GB2312" w:hAnsi="仿宋_GB2312" w:cs="仿宋_GB2312" w:eastAsia="仿宋_GB2312"/>
                <w:sz w:val="25"/>
                <w:b/>
              </w:rPr>
              <w:t>（</w:t>
            </w:r>
            <w:r>
              <w:rPr>
                <w:rFonts w:ascii="仿宋_GB2312" w:hAnsi="仿宋_GB2312" w:cs="仿宋_GB2312" w:eastAsia="仿宋_GB2312"/>
                <w:sz w:val="25"/>
                <w:b/>
              </w:rPr>
              <w:t>需</w:t>
            </w:r>
            <w:r>
              <w:rPr>
                <w:rFonts w:ascii="仿宋_GB2312" w:hAnsi="仿宋_GB2312" w:cs="仿宋_GB2312" w:eastAsia="仿宋_GB2312"/>
                <w:sz w:val="25"/>
                <w:b/>
              </w:rPr>
              <w:t>提供实物照片，并且提供产品彩页，或制造商官网介绍截图，或产品技术说明书，或检测报告等进行佐证，否则视为不满足）</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2.8</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为保障机械手补药定位的准确性，选择机械手应用视觉核对技术，对待补药品的储位进行定位成像核对。药品核对采用条形码核对方式和图像识别方式。</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2.9</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5"/>
              </w:rPr>
              <w:t>▲在连续上药工作中，机械手上药平均速度每分钟</w:t>
            </w:r>
            <w:r>
              <w:rPr>
                <w:rFonts w:ascii="仿宋_GB2312" w:hAnsi="仿宋_GB2312" w:cs="仿宋_GB2312" w:eastAsia="仿宋_GB2312"/>
                <w:sz w:val="25"/>
              </w:rPr>
              <w:t>≧25</w:t>
            </w:r>
            <w:r>
              <w:rPr>
                <w:rFonts w:ascii="仿宋_GB2312" w:hAnsi="仿宋_GB2312" w:cs="仿宋_GB2312" w:eastAsia="仿宋_GB2312"/>
                <w:sz w:val="25"/>
              </w:rPr>
              <w:t>盒（</w:t>
            </w:r>
            <w:r>
              <w:rPr>
                <w:rFonts w:ascii="仿宋_GB2312" w:hAnsi="仿宋_GB2312" w:cs="仿宋_GB2312" w:eastAsia="仿宋_GB2312"/>
                <w:sz w:val="25"/>
              </w:rPr>
              <w:t>1500</w:t>
            </w:r>
            <w:r>
              <w:rPr>
                <w:rFonts w:ascii="仿宋_GB2312" w:hAnsi="仿宋_GB2312" w:cs="仿宋_GB2312" w:eastAsia="仿宋_GB2312"/>
                <w:sz w:val="25"/>
              </w:rPr>
              <w:t>盒</w:t>
            </w:r>
            <w:r>
              <w:rPr>
                <w:rFonts w:ascii="仿宋_GB2312" w:hAnsi="仿宋_GB2312" w:cs="仿宋_GB2312" w:eastAsia="仿宋_GB2312"/>
                <w:sz w:val="25"/>
              </w:rPr>
              <w:t>/</w:t>
            </w:r>
            <w:r>
              <w:rPr>
                <w:rFonts w:ascii="仿宋_GB2312" w:hAnsi="仿宋_GB2312" w:cs="仿宋_GB2312" w:eastAsia="仿宋_GB2312"/>
                <w:sz w:val="25"/>
              </w:rPr>
              <w:t>小时）。</w:t>
            </w:r>
            <w:r>
              <w:rPr>
                <w:rFonts w:ascii="仿宋_GB2312" w:hAnsi="仿宋_GB2312" w:cs="仿宋_GB2312" w:eastAsia="仿宋_GB2312"/>
                <w:sz w:val="25"/>
                <w:b/>
              </w:rPr>
              <w:t>（提供具备</w:t>
            </w:r>
            <w:r>
              <w:rPr>
                <w:rFonts w:ascii="仿宋_GB2312" w:hAnsi="仿宋_GB2312" w:cs="仿宋_GB2312" w:eastAsia="仿宋_GB2312"/>
                <w:sz w:val="25"/>
                <w:b/>
              </w:rPr>
              <w:t>CMA</w:t>
            </w:r>
            <w:r>
              <w:rPr>
                <w:rFonts w:ascii="仿宋_GB2312" w:hAnsi="仿宋_GB2312" w:cs="仿宋_GB2312" w:eastAsia="仿宋_GB2312"/>
                <w:sz w:val="25"/>
                <w:b/>
              </w:rPr>
              <w:t>或</w:t>
            </w:r>
            <w:r>
              <w:rPr>
                <w:rFonts w:ascii="仿宋_GB2312" w:hAnsi="仿宋_GB2312" w:cs="仿宋_GB2312" w:eastAsia="仿宋_GB2312"/>
                <w:sz w:val="25"/>
                <w:b/>
              </w:rPr>
              <w:t>CNAS</w:t>
            </w:r>
            <w:r>
              <w:rPr>
                <w:rFonts w:ascii="仿宋_GB2312" w:hAnsi="仿宋_GB2312" w:cs="仿宋_GB2312" w:eastAsia="仿宋_GB2312"/>
                <w:sz w:val="25"/>
                <w:b/>
              </w:rPr>
              <w:t>标识的质量检测机构出具的检测报告）</w:t>
            </w:r>
            <w:r>
              <w:rPr>
                <w:rFonts w:ascii="仿宋_GB2312" w:hAnsi="仿宋_GB2312" w:cs="仿宋_GB2312" w:eastAsia="仿宋_GB2312"/>
                <w:sz w:val="24"/>
              </w:rPr>
              <w:t>。</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2.10</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补药工位具备保护装置，进入设备的出入口具备保护装置，误操作设备同步停止运行，保护人员使用安全。</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2.11</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补药机械手具备多个盘点装置，能够支持整机盘点和单储位盘点的功能。整机盘点</w:t>
            </w:r>
            <w:r>
              <w:rPr>
                <w:rFonts w:ascii="仿宋_GB2312" w:hAnsi="仿宋_GB2312" w:cs="仿宋_GB2312" w:eastAsia="仿宋_GB2312"/>
                <w:sz w:val="24"/>
              </w:rPr>
              <w:t>≤35分钟。</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2.12</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每个储位槽具备发药机构和核对机构，对实时分发的药品进行核对分发。设备接收处方信息后，涉及到的所需药品的每个储位（不同层和列）能够同时同步分发。</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2.13</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5"/>
              </w:rPr>
              <w:t>▲发药典型处方（含5个数量和品种的药品）平均处理时间应≤10秒钟。</w:t>
            </w:r>
            <w:r>
              <w:rPr>
                <w:rFonts w:ascii="仿宋_GB2312" w:hAnsi="仿宋_GB2312" w:cs="仿宋_GB2312" w:eastAsia="仿宋_GB2312"/>
                <w:sz w:val="25"/>
                <w:b/>
              </w:rPr>
              <w:t>（提供具备</w:t>
            </w:r>
            <w:r>
              <w:rPr>
                <w:rFonts w:ascii="仿宋_GB2312" w:hAnsi="仿宋_GB2312" w:cs="仿宋_GB2312" w:eastAsia="仿宋_GB2312"/>
                <w:sz w:val="25"/>
                <w:b/>
              </w:rPr>
              <w:t>CMA或CNAS标识的质量检测机构出具的检测报告）</w:t>
            </w:r>
            <w:r>
              <w:rPr>
                <w:rFonts w:ascii="仿宋_GB2312" w:hAnsi="仿宋_GB2312" w:cs="仿宋_GB2312" w:eastAsia="仿宋_GB2312"/>
                <w:sz w:val="24"/>
              </w:rPr>
              <w:t>。</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2.14</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5"/>
              </w:rPr>
              <w:t>▲整机可靠性要求：各电器元件的连接应可靠，布线合理，具备有效保护接地装置，连续处理≥500个处方，保证起、制动无故障，运动系统定位准确，具备安全保护装置。</w:t>
            </w:r>
            <w:r>
              <w:rPr>
                <w:rFonts w:ascii="仿宋_GB2312" w:hAnsi="仿宋_GB2312" w:cs="仿宋_GB2312" w:eastAsia="仿宋_GB2312"/>
                <w:sz w:val="25"/>
                <w:b/>
              </w:rPr>
              <w:t>（提供具备</w:t>
            </w:r>
            <w:r>
              <w:rPr>
                <w:rFonts w:ascii="仿宋_GB2312" w:hAnsi="仿宋_GB2312" w:cs="仿宋_GB2312" w:eastAsia="仿宋_GB2312"/>
                <w:sz w:val="25"/>
                <w:b/>
              </w:rPr>
              <w:t>CMA或CNAS标识的质量检测机构出具的检测报告）</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2.15</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设备具备对药品的基本信息的维护管理，至少包含批号、效期、库存等基本信息管理。</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2.16</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设备能够实时接收处方信息，按照拟定的处方顺序进行分发药品，同时可以实时记录处方分发过程，数据留存和记录。</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3</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直发传输系统</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3.1</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传输发药设备发出的药品，传输至发药指定位置</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3.2</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可支持单机独立使用，可以与多种发药设备同机链接使用</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3.3</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5"/>
              </w:rPr>
              <w:t>▲</w:t>
            </w:r>
            <w:r>
              <w:rPr>
                <w:rFonts w:ascii="仿宋_GB2312" w:hAnsi="仿宋_GB2312" w:cs="仿宋_GB2312" w:eastAsia="仿宋_GB2312"/>
                <w:sz w:val="25"/>
              </w:rPr>
              <w:t>为避免传输药品时，大处方药品堵塞传输的现象，采用落地传输药品的方式。</w:t>
            </w:r>
            <w:r>
              <w:rPr>
                <w:rFonts w:ascii="仿宋_GB2312" w:hAnsi="仿宋_GB2312" w:cs="仿宋_GB2312" w:eastAsia="仿宋_GB2312"/>
                <w:sz w:val="25"/>
                <w:b/>
              </w:rPr>
              <w:t>（</w:t>
            </w:r>
            <w:r>
              <w:rPr>
                <w:rFonts w:ascii="仿宋_GB2312" w:hAnsi="仿宋_GB2312" w:cs="仿宋_GB2312" w:eastAsia="仿宋_GB2312"/>
                <w:sz w:val="25"/>
                <w:b/>
              </w:rPr>
              <w:t>需</w:t>
            </w:r>
            <w:r>
              <w:rPr>
                <w:rFonts w:ascii="仿宋_GB2312" w:hAnsi="仿宋_GB2312" w:cs="仿宋_GB2312" w:eastAsia="仿宋_GB2312"/>
                <w:sz w:val="25"/>
                <w:b/>
              </w:rPr>
              <w:t>提供实物照片，并且提供产品彩页，或制造商官网介绍截图，或产品技术说明书，或检测报告等进行佐证，否则视为不满足）</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3.4</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自动感应</w:t>
            </w:r>
            <w:r>
              <w:rPr>
                <w:rFonts w:ascii="仿宋_GB2312" w:hAnsi="仿宋_GB2312" w:cs="仿宋_GB2312" w:eastAsia="仿宋_GB2312"/>
                <w:sz w:val="24"/>
              </w:rPr>
              <w:t>:传输设备能够接收发药指令或感应待传输药品后高速传输。</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4</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嵌入高发机</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4.1</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rPr>
              <w:t>用于高频次、大批量药品存储与直接发放，解决普通发药机屏蔽大处方的瓶颈，系统接收处方信息自动分发。</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4.2</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要求与医院</w:t>
            </w:r>
            <w:r>
              <w:rPr>
                <w:rFonts w:ascii="仿宋_GB2312" w:hAnsi="仿宋_GB2312" w:cs="仿宋_GB2312" w:eastAsia="仿宋_GB2312"/>
                <w:sz w:val="24"/>
              </w:rPr>
              <w:t>HIS实现无缝隙连接, 系统接收处方信息后，高速分发，通过快速发药主机传输分发。</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4.3</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5"/>
              </w:rPr>
              <w:t>▲设备嵌入自动发药机，与发药机联机工作。当同一处方内药品分别存储在高速发药机和自动发药机时，该处方无需拆分，可一同出药。</w:t>
            </w:r>
            <w:r>
              <w:rPr>
                <w:rFonts w:ascii="仿宋_GB2312" w:hAnsi="仿宋_GB2312" w:cs="仿宋_GB2312" w:eastAsia="仿宋_GB2312"/>
                <w:sz w:val="25"/>
                <w:b/>
              </w:rPr>
              <w:t>（</w:t>
            </w:r>
            <w:r>
              <w:rPr>
                <w:rFonts w:ascii="仿宋_GB2312" w:hAnsi="仿宋_GB2312" w:cs="仿宋_GB2312" w:eastAsia="仿宋_GB2312"/>
                <w:sz w:val="25"/>
                <w:b/>
              </w:rPr>
              <w:t>需</w:t>
            </w:r>
            <w:r>
              <w:rPr>
                <w:rFonts w:ascii="仿宋_GB2312" w:hAnsi="仿宋_GB2312" w:cs="仿宋_GB2312" w:eastAsia="仿宋_GB2312"/>
                <w:sz w:val="25"/>
                <w:b/>
              </w:rPr>
              <w:t>提供实物照片，并且提供产品彩页，或制造商官网介绍截图，或产品技术说明书，或检测报告等进行佐证，否则视为不满足）</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4.4</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储存量：单个储位实际放置常规药品数量</w:t>
            </w:r>
            <w:r>
              <w:rPr>
                <w:rFonts w:ascii="仿宋_GB2312" w:hAnsi="仿宋_GB2312" w:cs="仿宋_GB2312" w:eastAsia="仿宋_GB2312"/>
                <w:sz w:val="24"/>
              </w:rPr>
              <w:t>≥50盒，储药通道≥42个，常规储存药品数量≥2000盒。</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4.5</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叠加式储存，存储层数：</w:t>
            </w:r>
            <w:r>
              <w:rPr>
                <w:rFonts w:ascii="仿宋_GB2312" w:hAnsi="仿宋_GB2312" w:cs="仿宋_GB2312" w:eastAsia="仿宋_GB2312"/>
                <w:sz w:val="24"/>
              </w:rPr>
              <w:t>≥2层。</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4.6</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出药方式：上下两层储药通道可以同时出药，配置</w:t>
            </w:r>
            <w:r>
              <w:rPr>
                <w:rFonts w:ascii="仿宋_GB2312" w:hAnsi="仿宋_GB2312" w:cs="仿宋_GB2312" w:eastAsia="仿宋_GB2312"/>
                <w:sz w:val="24"/>
              </w:rPr>
              <w:t>≥两个出药机械手，同时具有独立的检查计数传感装置。</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4.7</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上药速度</w:t>
            </w:r>
            <w:r>
              <w:rPr>
                <w:rFonts w:ascii="仿宋_GB2312" w:hAnsi="仿宋_GB2312" w:cs="仿宋_GB2312" w:eastAsia="仿宋_GB2312"/>
                <w:sz w:val="24"/>
              </w:rPr>
              <w:t>≥100盒/分钟/人</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5</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自动发筐机</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5.1</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基本功能：接到处方后，可自动发送配药药筐，同时药筐自动绑定处方信息，使药品、药筐、处方信息一一对应，保证准确性。</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5.2</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5"/>
              </w:rPr>
              <w:t>★设备构成：双通道储存药筐装置，控制操作一体机和双通道出筐机构。</w:t>
            </w:r>
            <w:r>
              <w:rPr>
                <w:rFonts w:ascii="仿宋_GB2312" w:hAnsi="仿宋_GB2312" w:cs="仿宋_GB2312" w:eastAsia="仿宋_GB2312"/>
                <w:sz w:val="25"/>
                <w:b/>
              </w:rPr>
              <w:t>（</w:t>
            </w:r>
            <w:r>
              <w:rPr>
                <w:rFonts w:ascii="仿宋_GB2312" w:hAnsi="仿宋_GB2312" w:cs="仿宋_GB2312" w:eastAsia="仿宋_GB2312"/>
                <w:sz w:val="25"/>
                <w:b/>
              </w:rPr>
              <w:t>需</w:t>
            </w:r>
            <w:r>
              <w:rPr>
                <w:rFonts w:ascii="仿宋_GB2312" w:hAnsi="仿宋_GB2312" w:cs="仿宋_GB2312" w:eastAsia="仿宋_GB2312"/>
                <w:sz w:val="25"/>
                <w:b/>
              </w:rPr>
              <w:t>提供实物照片，并且提供产品彩页，或制造商官网介绍截图，或产品技术说明书，或检测报告等进行佐证，否则视为不满足）</w:t>
            </w:r>
            <w:r>
              <w:rPr>
                <w:rFonts w:ascii="仿宋_GB2312" w:hAnsi="仿宋_GB2312" w:cs="仿宋_GB2312" w:eastAsia="仿宋_GB2312"/>
                <w:sz w:val="24"/>
              </w:rPr>
              <w:t>。</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5.3</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出筐绑筐功能：可自动将药筐和处方进行一对一绑定，自动出筐过程中医嘱单据自动打印，医嘱调剂单打印后自动裁剪落筐。</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5.4</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软件及操作功能：可以双人同时操作，可实现权限登录，工作量绩效考核。药师及时判断处方的处理过程，提高配药效率。</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6</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电子药筐</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6.1</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电子药筐与系统无线连接，自动接收发药信息，显示药筐所在位置，并且提示药师取药。</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6.2</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电子药筐与发药机可实现信息同步，在处方药品放入电子药筐后，电子药筐自动录入处方信息，使药品、药筐、处方信息一一对应，保证准确性。</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6.3</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发药口收方后，系统自动提示该处方药品所在的位置，提示药师取药。</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6.4</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电子药筐可以随意摆放，不受固定位置的限制，无需使用药架。</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6.5</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药筐和处方进行一对一绑定，同时辅助发药系统提示，药师及时判断处方的处理过程，提高配药效率。</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6.6</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电池使用周期：可持续使用</w:t>
            </w:r>
            <w:r>
              <w:rPr>
                <w:rFonts w:ascii="仿宋_GB2312" w:hAnsi="仿宋_GB2312" w:cs="仿宋_GB2312" w:eastAsia="仿宋_GB2312"/>
                <w:sz w:val="24"/>
              </w:rPr>
              <w:t>≥15天。</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6.7</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收到补药信息后，系统自动提示该药品所在的位置，提示药师补药。</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6.8</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耐用性要求：高空</w:t>
            </w:r>
            <w:r>
              <w:rPr>
                <w:rFonts w:ascii="仿宋_GB2312" w:hAnsi="仿宋_GB2312" w:cs="仿宋_GB2312" w:eastAsia="仿宋_GB2312"/>
                <w:sz w:val="24"/>
              </w:rPr>
              <w:t>≥1米自由摔落，不变型，部件不分离。可承载≥4KG药品。</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7</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调配机</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7.1</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设备存储和配发非盒装类药品，接收处方调剂指令，自动运行至操作人员面前，引导存取药品。</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7.2</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储存形式可储存各种包装形式的药品如：针剂、铝塑板状、拆零袋装、瓶装口服溶液等非盒装药品。</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7.3</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5"/>
              </w:rPr>
              <w:t>▲设备模块化，≥4个储药模组组成，储药模组独立运行。每个模组≥25个储位，储位为药盒装载药品。</w:t>
            </w:r>
            <w:r>
              <w:rPr>
                <w:rFonts w:ascii="仿宋_GB2312" w:hAnsi="仿宋_GB2312" w:cs="仿宋_GB2312" w:eastAsia="仿宋_GB2312"/>
                <w:sz w:val="25"/>
                <w:b/>
              </w:rPr>
              <w:t>（需提供实物照片，并且提供产品彩页，或制造商官网介绍截图，或产品技术说明书，或检测报告等进行佐证，否则视为不满足）</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7.4</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系统接收处方信息后，自动将药品送至药师面前，并提示所在位置。</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7.5</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能够支持药品的批号、效期和库存等信息的数据管理和记录，支持批号效期和库存的预警。</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7.6</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出药方式垂直旋转自动寻址，提示药师取药手动出药、指定位置出药。</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7.7</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射灯可直接指示药盒定位，触摸屏上也将显示药品位置与取药数量。</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7.8</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操作安全性：上下存取药口采用保护装置进行检测，以保护操作人员及设备的安全，如有物体卡住应立即自动停机。同时配备急停按钮装置。（提供</w:t>
            </w:r>
            <w:r>
              <w:rPr>
                <w:rFonts w:ascii="仿宋_GB2312" w:hAnsi="仿宋_GB2312" w:cs="仿宋_GB2312" w:eastAsia="仿宋_GB2312"/>
                <w:sz w:val="24"/>
              </w:rPr>
              <w:t>CMA或CNAS标识的质量检测机构出具的检测报告或技术白皮书或产品彩页）</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8</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拆零机</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8.1</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用于门诊药房单剂量药品的分发分装，接到医嘱信息后，自动发送单剂量药品，并打印不干胶贴纸，可附着于包装袋，至少包含药品名称、规格、总量、用法用量等。</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8.2</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落药方式采用光检测垂直落药方式。</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8.3</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打印方式为不干胶贴纸，要求热敏打印。</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8.4</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开机能够自动检测机器运行状态以及各部分是否工作正常，发现不能工作的部件及时提示报警。</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8.5</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出药方式为双通道出药。</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8.6</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5"/>
              </w:rPr>
              <w:t>★药盒抽屉数量≥5个，药品种类≥75种。</w:t>
            </w:r>
            <w:r>
              <w:rPr>
                <w:rFonts w:ascii="仿宋_GB2312" w:hAnsi="仿宋_GB2312" w:cs="仿宋_GB2312" w:eastAsia="仿宋_GB2312"/>
                <w:sz w:val="25"/>
                <w:b/>
              </w:rPr>
              <w:t>（</w:t>
            </w:r>
            <w:r>
              <w:rPr>
                <w:rFonts w:ascii="仿宋_GB2312" w:hAnsi="仿宋_GB2312" w:cs="仿宋_GB2312" w:eastAsia="仿宋_GB2312"/>
                <w:sz w:val="25"/>
                <w:b/>
              </w:rPr>
              <w:t>需</w:t>
            </w:r>
            <w:r>
              <w:rPr>
                <w:rFonts w:ascii="仿宋_GB2312" w:hAnsi="仿宋_GB2312" w:cs="仿宋_GB2312" w:eastAsia="仿宋_GB2312"/>
                <w:sz w:val="25"/>
                <w:b/>
              </w:rPr>
              <w:t>提供承诺函，并需提供产品彩页，或制造商官网介绍截图，或产品技术说明书，或检测报告等进行佐证，否则视为不满足）</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9</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麻精药品管理机</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9.1</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5"/>
              </w:rPr>
              <w:t>▲需要具备接入全国麻精药品溯源管控系统的认证资格，确保麻精药品能够精准溯源。</w:t>
            </w:r>
            <w:r>
              <w:rPr>
                <w:rFonts w:ascii="仿宋_GB2312" w:hAnsi="仿宋_GB2312" w:cs="仿宋_GB2312" w:eastAsia="仿宋_GB2312"/>
                <w:sz w:val="25"/>
                <w:b/>
              </w:rPr>
              <w:t>（提供入网注册许可证服务平台查询截图）</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9.2</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能够根据用药指令，双人权限登录后，存取麻精类药品的设备。</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9.3</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能够与</w:t>
            </w:r>
            <w:r>
              <w:rPr>
                <w:rFonts w:ascii="仿宋_GB2312" w:hAnsi="仿宋_GB2312" w:cs="仿宋_GB2312" w:eastAsia="仿宋_GB2312"/>
                <w:sz w:val="24"/>
              </w:rPr>
              <w:t>HIS无缝链接或麻精专项管理软件信息互联，自动接收该类药品的存取指令。</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9.4</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设备组成为操作控制显示、管控储位抽屉、权限登录系统、全流程</w:t>
            </w:r>
            <w:r>
              <w:rPr>
                <w:rFonts w:ascii="仿宋_GB2312" w:hAnsi="仿宋_GB2312" w:cs="仿宋_GB2312" w:eastAsia="仿宋_GB2312"/>
                <w:sz w:val="24"/>
              </w:rPr>
              <w:t>360度监控系统。</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9.5</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满足</w:t>
            </w:r>
            <w:r>
              <w:rPr>
                <w:rFonts w:ascii="仿宋_GB2312" w:hAnsi="仿宋_GB2312" w:cs="仿宋_GB2312" w:eastAsia="仿宋_GB2312"/>
                <w:sz w:val="24"/>
              </w:rPr>
              <w:t>≥3种的权限登录操作，并执行双人登录操作存取该类药品的流程，符合满足在麻精药品的“五专”管理规定下进行操作使用。</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9.6</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接收所需麻精药品的存取指令，涉及所需麻精药品的储药抽屉自动弹开，所需的麻精药品储位对应的管控密闭板自动弹开，指示存取所需药品的相应数量，存取药品后，设备自动计数，并设备自动更新库存信息，无需人工参与计数和更改库存数量。</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9.7</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麻精药品管理机</w:t>
            </w:r>
            <w:r>
              <w:rPr>
                <w:rFonts w:ascii="仿宋_GB2312" w:hAnsi="仿宋_GB2312" w:cs="仿宋_GB2312" w:eastAsia="仿宋_GB2312"/>
                <w:sz w:val="24"/>
              </w:rPr>
              <w:t>≥5层，每层容积≥15L。每层存储抽屉可选择6个储位抽屉，可选择9个储位抽屉，可选择12个储位抽屉。</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9.8</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每个存储抽屉中的每个储位配置显示屏，显示该储位麻精药品的基本信息：至少包含品名、规格、库存数量等。</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9.9</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取药准确状态提示，至少包含：误操作多取药品自动预警提示，误操作少取药品自动预警提示，空包装放入自动预警提示。</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9.10</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批号、效期、库存等信息的记录和管理，至少具备批号、效期和库存预警功能。同时能够生成存取日记帐目，便于交接班。</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10</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门诊药房中央管理系统</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10.1</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管理系统需要和院内</w:t>
            </w:r>
            <w:r>
              <w:rPr>
                <w:rFonts w:ascii="仿宋_GB2312" w:hAnsi="仿宋_GB2312" w:cs="仿宋_GB2312" w:eastAsia="仿宋_GB2312"/>
                <w:sz w:val="24"/>
              </w:rPr>
              <w:t>HIS系统对接，至少可以完成与HIS系统间的科室字典同步、员工字典同步、药品字典同步。管理系统需要和自动化设备对接，至少可以执行创建发药任务、取消发药任务、发药执行完成、退药执行完成操作。</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10.2</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具备发药窗口分配系统，可根据窗口开放情况、排队情况分配取药窗口。至少能提供直发、混发、优先窗口等各种窗口模式的选择配置。</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10.3</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管理系统和自动化设备对接，与设备协同工作，至少能实现窗口分配、储位导航、调配提示等功能。</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10.4</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系统支持发药机直发处方的处方调度、处方出药。发药机故障时，系统可对应急人工取药做指引，并在设备故障及设备恢复时提醒工作人员。</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10.5</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5"/>
              </w:rPr>
              <w:t>★中央管理系统具备报表管理功能：为药房提供数据报表（至少包含：患者等候时间统计、药师工作量统计、设备调剂处方统计等。），并将汇总数据转化为图表或直观数字模式以供参阅。</w:t>
            </w:r>
            <w:r>
              <w:rPr>
                <w:rFonts w:ascii="仿宋_GB2312" w:hAnsi="仿宋_GB2312" w:cs="仿宋_GB2312" w:eastAsia="仿宋_GB2312"/>
                <w:sz w:val="25"/>
                <w:b/>
              </w:rPr>
              <w:t>（</w:t>
            </w:r>
            <w:r>
              <w:rPr>
                <w:rFonts w:ascii="仿宋_GB2312" w:hAnsi="仿宋_GB2312" w:cs="仿宋_GB2312" w:eastAsia="仿宋_GB2312"/>
                <w:sz w:val="25"/>
                <w:b/>
              </w:rPr>
              <w:t>需</w:t>
            </w:r>
            <w:r>
              <w:rPr>
                <w:rFonts w:ascii="仿宋_GB2312" w:hAnsi="仿宋_GB2312" w:cs="仿宋_GB2312" w:eastAsia="仿宋_GB2312"/>
                <w:sz w:val="25"/>
                <w:b/>
              </w:rPr>
              <w:t>提供实物照片，并且提供产品彩页，或制造商官网介绍截图，或产品技术说明书，或检测报告等进行佐证，否则视为不满足）</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10.6</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系统内实时接收处方数据，至少能实时更新并监控当日总量、已报到量、已调配量、待发放量、已发放量等信息。</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10.7</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系统内根据处方信息向前台分配发药任务，并根据员工的操作留痕实时监控各窗口待配量、待发量。</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10.8</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系统根据员工操作留痕计算出调剂平均时间、窗口发药平均时间，并在患者等候时间过长时对发药员工发出提示。</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10.9</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系统根据抓取的处方信息统计来源的科室并汇总后以科室形式展现，处方信息实时更新。</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10.10</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处方设备分布监控：系统监控各设备处理的处方量，统计后可查阅实时更新的数据。</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10.11</w:t>
            </w:r>
          </w:p>
        </w:tc>
        <w:tc>
          <w:tcPr>
            <w:tcW w:type="dxa" w:w="7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设备实时运行监控，系统可监控全盘设备运行情况，也可监控单个设备处理单处方的实时工作情况。</w:t>
            </w:r>
          </w:p>
        </w:tc>
      </w:tr>
    </w:tbl>
    <w:p>
      <w:pPr>
        <w:pStyle w:val="null3"/>
        <w:ind w:firstLine="480"/>
        <w:jc w:val="both"/>
      </w:pPr>
      <w:r>
        <w:rPr>
          <w:rFonts w:ascii="仿宋_GB2312" w:hAnsi="仿宋_GB2312" w:cs="仿宋_GB2312" w:eastAsia="仿宋_GB2312"/>
          <w:sz w:val="24"/>
          <w:b/>
        </w:rPr>
        <w:t>1.4配置清单</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095"/>
        <w:gridCol w:w="5280"/>
        <w:gridCol w:w="990"/>
        <w:gridCol w:w="840"/>
      </w:tblGrid>
      <w:tr>
        <w:tc>
          <w:tcPr>
            <w:tcW w:type="dxa" w:w="10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5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配置清单</w:t>
            </w:r>
          </w:p>
        </w:tc>
        <w:tc>
          <w:tcPr>
            <w:tcW w:type="dxa" w:w="9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8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自助发药机</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直发传输系统</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嵌入高发机</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自动发筐机</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电子药筐</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调配机</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5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拆零机</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5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麻精药品管理机</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5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门诊药房中央管理系统</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5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追溯码智能采集系统</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5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前台发药电子显示器</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bl>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.技术参数响应说明</w:t>
      </w:r>
      <w:r>
        <w:rPr>
          <w:rFonts w:ascii="仿宋_GB2312" w:hAnsi="仿宋_GB2312" w:cs="仿宋_GB2312" w:eastAsia="仿宋_GB2312"/>
          <w:sz w:val="24"/>
          <w:b/>
        </w:rPr>
        <w:t>（采购包</w:t>
      </w:r>
      <w:r>
        <w:rPr>
          <w:rFonts w:ascii="仿宋_GB2312" w:hAnsi="仿宋_GB2312" w:cs="仿宋_GB2312" w:eastAsia="仿宋_GB2312"/>
          <w:sz w:val="24"/>
          <w:b/>
        </w:rPr>
        <w:t>1、采购包2</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.1技术参数要求中载明选配、按需配置的，实际供货时中标人需按分签单位要求配置，但中标价格不再调整。</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.2佐证材料要求（原件备查）：</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.2.1投标人对所有技术参数要求均需提供佐证材料，否则视为不满足。</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.2.2技术参数要求条款中有明确佐证材料要求的，按其要求提供。</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.2.3技术参数要求条款中没有明确佐证材料要求的，投标人可提供以下任意一种佐证材料：</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.2.3.1提供国家认可的第三方检验（检测）机构出具的检验（检测）报告原件扫描件佐证（报告需加盖机构公章或检验检测专用章，并标注资质认定标志CMA或CNAS）。</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.2.3.2提供制造商公布（出具）的产品说明书原件或技术白皮书原件扫描件。</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.2.3.3提供制造商公布（出具）的产品彩页原件扫描件。</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.2.3.4提供我国政府部门（机构）出具的相关材料原件扫描件（如产品核准证书等）。</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2.4投标人提供的佐证材料应完整（如检测报告、技术白皮书、产品说明书及彩页等应提供整份完整的检测报告），不得仅提供材料中的部分内容。且材料的尺寸和清晰度应该能够清晰的在电脑上被阅读、识别和判断，否则将承担不利的评审后果。</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.2.5若投标人提供的材料属于非中文描述的，还应按第三章第10.3（2）条要求提供中文译本，否则不予认可。</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.投标响应要求（采购包</w:t>
      </w:r>
      <w:r>
        <w:rPr>
          <w:rFonts w:ascii="仿宋_GB2312" w:hAnsi="仿宋_GB2312" w:cs="仿宋_GB2312" w:eastAsia="仿宋_GB2312"/>
          <w:sz w:val="24"/>
          <w:b/>
        </w:rPr>
        <w:t>1、采购包2</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.1投标人在投标文件中应明确投标货物的品牌、制造商、型号、规格、技术参数、数量等信息，并在报价部分明确各项货物的报价。</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.2本章的要求为基本要求，评分条款若有对优于本章要求进行加分的，投标人符合要求并提供相应证明材料的可获加分，具体详见评分条款。</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.3投标人除根据本章技术参数要求提供相应技术响应及佐证材料外，还应根据技术项评分条款的要求提供相应的技术参数佐证材料，未按要求提供的将可能导致不得分。</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.4投标人应根据技术项评分条款的要求提供相应的方案，如实施方案、供货方案、安装调试方案等。</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.5投标人应根据技术要求和评分条款的要求明确中标后投入本项目的管理人员、技术人员、服务人员等信息，并提供相应的佐证材料，未按要求提供的将可能导致不得分。</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.6投标人中标后不得将本项目转包，否则分签单位有权终止合同并追究中标人的违约责任。</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7投标人提供的采购标的应符合国家知识产权法律、法规的规定且非假冒伪劣品；投标人中标后需保证分签单位不受到第三方关于侵犯知识产权及专利权、商标权或工业设计权等知识产权方面的指控，若任何第三方提出此方面指控均与分签单位无关，中标人应与第三方交涉，并承担可能发生的一切法律责任、费用和后果；若分签单位因此而遭致损失，则中标人应赔偿该损失。</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8投标人应明确所提供的货物及服务与采购需求存在的正负偏离情况。对照招标文件要求，在《技术和服务要求响应表》中逐条说明所提供的货物及服务对采购需求的响应情况。投标人若未对采购需求进行逐条响应，将可能导致不利的评审后果。</w:t>
      </w:r>
    </w:p>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.现场踏勘</w:t>
      </w:r>
      <w:r>
        <w:rPr>
          <w:rFonts w:ascii="仿宋_GB2312" w:hAnsi="仿宋_GB2312" w:cs="仿宋_GB2312" w:eastAsia="仿宋_GB2312"/>
          <w:sz w:val="24"/>
          <w:b/>
        </w:rPr>
        <w:t>（采购包</w:t>
      </w:r>
      <w:r>
        <w:rPr>
          <w:rFonts w:ascii="仿宋_GB2312" w:hAnsi="仿宋_GB2312" w:cs="仿宋_GB2312" w:eastAsia="仿宋_GB2312"/>
          <w:sz w:val="24"/>
          <w:b/>
        </w:rPr>
        <w:t>1、采购包2）</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1踏勘说明：采购人或分签单位不组织统一现场踏勘，投标人应自行对货物使用地进行踏勘，以获取编制投标文件和签署合同所需的资料。踏勘现场所发生的费用（包括但不限于交通费等）由投标人自行承担。采购人和分签单位提供的有关资料和数据，仅供参考，采购人和分签单位对投标人由此而做出的推论、理解和结论概不负责。投标人因自身原因未到现场实地踏勘的，签订合同时和履约过程中，不得以不完全了解现场情况为由，提出任何形式的增加款项或索赔的要求。</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.2踏勘地点：分签单位指定地点。</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.3分签单位踏勘联系人：</w:t>
      </w:r>
    </w:p>
    <w:p>
      <w:pPr>
        <w:pStyle w:val="null3"/>
        <w:ind w:firstLine="480"/>
        <w:jc w:val="both"/>
      </w:pPr>
      <w:r>
        <w:rPr>
          <w:rFonts w:ascii="仿宋_GB2312" w:hAnsi="仿宋_GB2312" w:cs="仿宋_GB2312" w:eastAsia="仿宋_GB2312"/>
          <w:sz w:val="24"/>
        </w:rPr>
        <w:t>厦门大学附属心血管病医院</w:t>
      </w:r>
      <w:r>
        <w:rPr>
          <w:rFonts w:ascii="仿宋_GB2312" w:hAnsi="仿宋_GB2312" w:cs="仿宋_GB2312" w:eastAsia="仿宋_GB2312"/>
          <w:sz w:val="24"/>
        </w:rPr>
        <w:t>许贵华，联系方式：</w:t>
      </w:r>
      <w:r>
        <w:rPr>
          <w:rFonts w:ascii="仿宋_GB2312" w:hAnsi="仿宋_GB2312" w:cs="仿宋_GB2312" w:eastAsia="仿宋_GB2312"/>
          <w:sz w:val="24"/>
        </w:rPr>
        <w:t>132 1501 7826</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厦门大学附属第一医院</w:t>
      </w:r>
      <w:r>
        <w:rPr>
          <w:rFonts w:ascii="仿宋_GB2312" w:hAnsi="仿宋_GB2312" w:cs="仿宋_GB2312" w:eastAsia="仿宋_GB2312"/>
        </w:rPr>
        <w:t xml:space="preserve"> </w:t>
      </w:r>
      <w:r>
        <w:rPr>
          <w:rFonts w:ascii="仿宋_GB2312" w:hAnsi="仿宋_GB2312" w:cs="仿宋_GB2312" w:eastAsia="仿宋_GB2312"/>
          <w:sz w:val="24"/>
        </w:rPr>
        <w:t>林艺聪，联系方式：</w:t>
      </w:r>
      <w:r>
        <w:rPr>
          <w:rFonts w:ascii="仿宋_GB2312" w:hAnsi="仿宋_GB2312" w:cs="仿宋_GB2312" w:eastAsia="仿宋_GB2312"/>
          <w:sz w:val="24"/>
        </w:rPr>
        <w:t>13459283839</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.4拟进入现场进行踏勘的人员应严格遵守分签单位要求，踏勘前请提前一个工作日与分签单位取得联系，报备信息后，方可进入踏勘地点。</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.5在踏勘期间因意外事故引发的人身伤亡和财产损失，投标人自行承担。给分签单位造成损失的，投标人应依法承担相关赔偿责任。</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商务要求</w:t>
      </w:r>
    </w:p>
    <w:p>
      <w:pPr>
        <w:pStyle w:val="null3"/>
        <w:jc w:val="left"/>
      </w:pPr>
      <w:r>
        <w:rPr>
          <w:rFonts w:ascii="仿宋_GB2312" w:hAnsi="仿宋_GB2312" w:cs="仿宋_GB2312" w:eastAsia="仿宋_GB2312"/>
          <w:sz w:val="24"/>
        </w:rPr>
        <w:t>采购包</w:t>
      </w:r>
      <w:r>
        <w:rPr>
          <w:rFonts w:ascii="仿宋_GB2312" w:hAnsi="仿宋_GB2312" w:cs="仿宋_GB2312" w:eastAsia="仿宋_GB2312"/>
          <w:sz w:val="24"/>
        </w:rPr>
        <w:t>1：</w:t>
      </w:r>
    </w:p>
    <w:tbl>
      <w:tblPr>
        <w:tblW w:w="0" w:type="auto"/>
        <w:tblBorders>
          <w:top w:val="none" w:color="000000" w:sz="4"/>
          <w:left w:val="none" w:color="000000" w:sz="4"/>
          <w:bottom w:val="none" w:color="000000" w:sz="4"/>
          <w:right w:val="none" w:color="000000" w:sz="4"/>
          <w:insideH w:val="none"/>
          <w:insideV w:val="none"/>
        </w:tblBorders>
      </w:tblPr>
      <w:tblGrid>
        <w:gridCol w:w="858"/>
        <w:gridCol w:w="1234"/>
        <w:gridCol w:w="2332"/>
        <w:gridCol w:w="3882"/>
      </w:tblGrid>
      <w:tr>
        <w:tc>
          <w:tcPr>
            <w:tcW w:type="dxa" w:w="8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参数性质</w:t>
            </w:r>
          </w:p>
        </w:tc>
        <w:tc>
          <w:tcPr>
            <w:tcW w:type="dxa" w:w="2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类型</w:t>
            </w:r>
          </w:p>
        </w:tc>
        <w:tc>
          <w:tcPr>
            <w:tcW w:type="dxa" w:w="38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要求</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交货时间</w:t>
            </w:r>
          </w:p>
        </w:tc>
        <w:tc>
          <w:tcPr>
            <w:tcW w:type="dxa" w:w="3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自分签单位发出供货通知后</w:t>
            </w:r>
            <w:r>
              <w:rPr>
                <w:rFonts w:ascii="仿宋_GB2312" w:hAnsi="仿宋_GB2312" w:cs="仿宋_GB2312" w:eastAsia="仿宋_GB2312"/>
                <w:sz w:val="24"/>
              </w:rPr>
              <w:t>60</w:t>
            </w:r>
            <w:r>
              <w:rPr>
                <w:rFonts w:ascii="仿宋_GB2312" w:hAnsi="仿宋_GB2312" w:cs="仿宋_GB2312" w:eastAsia="仿宋_GB2312"/>
                <w:sz w:val="24"/>
              </w:rPr>
              <w:t>个日历日内交货</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交货地点</w:t>
            </w:r>
          </w:p>
        </w:tc>
        <w:tc>
          <w:tcPr>
            <w:tcW w:type="dxa" w:w="3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厦门大学附属心血管病医院</w:t>
            </w:r>
            <w:r>
              <w:rPr>
                <w:rFonts w:ascii="仿宋_GB2312" w:hAnsi="仿宋_GB2312" w:cs="仿宋_GB2312" w:eastAsia="仿宋_GB2312"/>
                <w:sz w:val="24"/>
              </w:rPr>
              <w:t>（</w:t>
            </w:r>
            <w:r>
              <w:rPr>
                <w:rFonts w:ascii="仿宋_GB2312" w:hAnsi="仿宋_GB2312" w:cs="仿宋_GB2312" w:eastAsia="仿宋_GB2312"/>
                <w:sz w:val="19"/>
              </w:rPr>
              <w:t>厦门市湖里区金山路</w:t>
            </w:r>
            <w:r>
              <w:rPr>
                <w:rFonts w:ascii="仿宋_GB2312" w:hAnsi="仿宋_GB2312" w:cs="仿宋_GB2312" w:eastAsia="仿宋_GB2312"/>
                <w:sz w:val="19"/>
              </w:rPr>
              <w:t>2999号</w:t>
            </w:r>
            <w:r>
              <w:rPr>
                <w:rFonts w:ascii="仿宋_GB2312" w:hAnsi="仿宋_GB2312" w:cs="仿宋_GB2312" w:eastAsia="仿宋_GB2312"/>
                <w:sz w:val="24"/>
              </w:rPr>
              <w:t>）</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交货条件</w:t>
            </w:r>
          </w:p>
        </w:tc>
        <w:tc>
          <w:tcPr>
            <w:tcW w:type="dxa" w:w="3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通过最终验收合格</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是否邀请投标人验收</w:t>
            </w:r>
          </w:p>
        </w:tc>
        <w:tc>
          <w:tcPr>
            <w:tcW w:type="dxa" w:w="3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不邀请</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履约验收方式</w:t>
            </w:r>
          </w:p>
        </w:tc>
        <w:tc>
          <w:tcPr>
            <w:tcW w:type="dxa" w:w="3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1、期次1，说明：【详见招标文件下文】。</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合同支付方式</w:t>
            </w:r>
          </w:p>
        </w:tc>
        <w:tc>
          <w:tcPr>
            <w:tcW w:type="dxa" w:w="3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中标人在合同签订后</w:t>
            </w:r>
            <w:r>
              <w:rPr>
                <w:rFonts w:ascii="仿宋_GB2312" w:hAnsi="仿宋_GB2312" w:cs="仿宋_GB2312" w:eastAsia="仿宋_GB2312"/>
                <w:sz w:val="24"/>
              </w:rPr>
              <w:t>3日内提供全额发票，分签单位在收到履约保证金且收到合同全部货物起7日支付合同总金额的70%，合同全部货物最终验收合格并交付使用后，达到付款条件起7日，支付至合同总金额的100%（无息）。</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履约保证金</w:t>
            </w:r>
          </w:p>
        </w:tc>
        <w:tc>
          <w:tcPr>
            <w:tcW w:type="dxa" w:w="3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缴纳：</w:t>
            </w:r>
          </w:p>
          <w:p>
            <w:pPr>
              <w:pStyle w:val="null3"/>
              <w:ind w:firstLine="480"/>
              <w:jc w:val="left"/>
            </w:pPr>
            <w:r>
              <w:rPr>
                <w:rFonts w:ascii="仿宋_GB2312" w:hAnsi="仿宋_GB2312" w:cs="仿宋_GB2312" w:eastAsia="仿宋_GB2312"/>
                <w:sz w:val="24"/>
              </w:rPr>
              <w:t>本采购包履约保证金为合同金额的【</w:t>
            </w:r>
            <w:r>
              <w:rPr>
                <w:rFonts w:ascii="仿宋_GB2312" w:hAnsi="仿宋_GB2312" w:cs="仿宋_GB2312" w:eastAsia="仿宋_GB2312"/>
                <w:sz w:val="24"/>
              </w:rPr>
              <w:t>3】%。</w:t>
            </w:r>
          </w:p>
          <w:p>
            <w:pPr>
              <w:pStyle w:val="null3"/>
              <w:ind w:firstLine="480"/>
              <w:jc w:val="left"/>
            </w:pPr>
            <w:r>
              <w:rPr>
                <w:rFonts w:ascii="仿宋_GB2312" w:hAnsi="仿宋_GB2312" w:cs="仿宋_GB2312" w:eastAsia="仿宋_GB2312"/>
                <w:sz w:val="24"/>
              </w:rPr>
              <w:t>说明：</w:t>
            </w:r>
          </w:p>
          <w:p>
            <w:pPr>
              <w:pStyle w:val="null3"/>
              <w:ind w:firstLine="480"/>
              <w:jc w:val="left"/>
            </w:pPr>
            <w:r>
              <w:rPr>
                <w:rFonts w:ascii="仿宋_GB2312" w:hAnsi="仿宋_GB2312" w:cs="仿宋_GB2312" w:eastAsia="仿宋_GB2312"/>
                <w:sz w:val="24"/>
              </w:rPr>
              <w:t>收取时间：合同签订时提交。对符合规定的中小企业减半收取履约保证金。</w:t>
            </w:r>
          </w:p>
          <w:p>
            <w:pPr>
              <w:pStyle w:val="null3"/>
              <w:ind w:firstLine="480"/>
              <w:jc w:val="both"/>
            </w:pPr>
            <w:r>
              <w:rPr>
                <w:rFonts w:ascii="仿宋_GB2312" w:hAnsi="仿宋_GB2312" w:cs="仿宋_GB2312" w:eastAsia="仿宋_GB2312"/>
                <w:sz w:val="24"/>
              </w:rPr>
              <w:t>退还时间：整机验收合格满</w:t>
            </w:r>
            <w:r>
              <w:rPr>
                <w:rFonts w:ascii="仿宋_GB2312" w:hAnsi="仿宋_GB2312" w:cs="仿宋_GB2312" w:eastAsia="仿宋_GB2312"/>
                <w:sz w:val="24"/>
              </w:rPr>
              <w:t>5年且无合同纠纷，</w:t>
            </w:r>
            <w:r>
              <w:rPr>
                <w:rFonts w:ascii="仿宋_GB2312" w:hAnsi="仿宋_GB2312" w:cs="仿宋_GB2312" w:eastAsia="仿宋_GB2312"/>
                <w:sz w:val="24"/>
              </w:rPr>
              <w:t>分签单位</w:t>
            </w:r>
            <w:r>
              <w:rPr>
                <w:rFonts w:ascii="仿宋_GB2312" w:hAnsi="仿宋_GB2312" w:cs="仿宋_GB2312" w:eastAsia="仿宋_GB2312"/>
                <w:sz w:val="24"/>
              </w:rPr>
              <w:t>在收到中标人提供的退还申请书后，一次性无息在</w:t>
            </w:r>
            <w:r>
              <w:rPr>
                <w:rFonts w:ascii="仿宋_GB2312" w:hAnsi="仿宋_GB2312" w:cs="仿宋_GB2312" w:eastAsia="仿宋_GB2312"/>
                <w:sz w:val="24"/>
              </w:rPr>
              <w:t>5个工作日内向中标人退还履约保证金。</w:t>
            </w:r>
          </w:p>
          <w:p>
            <w:pPr>
              <w:pStyle w:val="null3"/>
              <w:ind w:firstLine="480"/>
              <w:jc w:val="both"/>
            </w:pPr>
            <w:r>
              <w:rPr>
                <w:rFonts w:ascii="仿宋_GB2312" w:hAnsi="仿宋_GB2312" w:cs="仿宋_GB2312" w:eastAsia="仿宋_GB2312"/>
                <w:sz w:val="24"/>
              </w:rPr>
              <w:t>提交方式：中标人与分签单位自行协商提交履约保证金的方式，中小企业履约保证金减半收取。</w:t>
            </w:r>
          </w:p>
          <w:p>
            <w:pPr>
              <w:pStyle w:val="null3"/>
              <w:ind w:firstLine="480"/>
              <w:jc w:val="both"/>
            </w:pPr>
            <w:r>
              <w:rPr>
                <w:rFonts w:ascii="仿宋_GB2312" w:hAnsi="仿宋_GB2312" w:cs="仿宋_GB2312" w:eastAsia="仿宋_GB2312"/>
                <w:sz w:val="24"/>
              </w:rPr>
              <w:t>不予退还的情形：中标人未按合同约定承担违约责任的，设备使用单位有权不予退还履约保证金。</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其他</w:t>
            </w:r>
          </w:p>
        </w:tc>
        <w:tc>
          <w:tcPr>
            <w:tcW w:type="dxa" w:w="3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因为系统限制编辑，本表中【是否邀请投标人验收】以此为准：分签单位可以视情况邀请参加本项目的其他投标人或者第三方专业机构及专家参与验收。</w:t>
            </w:r>
          </w:p>
        </w:tc>
      </w:tr>
    </w:tbl>
    <w:p>
      <w:pPr>
        <w:pStyle w:val="null3"/>
        <w:jc w:val="left"/>
      </w:pPr>
      <w:r>
        <w:rPr>
          <w:rFonts w:ascii="仿宋_GB2312" w:hAnsi="仿宋_GB2312" w:cs="仿宋_GB2312" w:eastAsia="仿宋_GB2312"/>
          <w:sz w:val="24"/>
        </w:rPr>
        <w:t>采购包</w:t>
      </w:r>
      <w:r>
        <w:rPr>
          <w:rFonts w:ascii="仿宋_GB2312" w:hAnsi="仿宋_GB2312" w:cs="仿宋_GB2312" w:eastAsia="仿宋_GB2312"/>
          <w:sz w:val="24"/>
        </w:rPr>
        <w:t>2</w:t>
      </w:r>
      <w:r>
        <w:rPr>
          <w:rFonts w:ascii="仿宋_GB2312" w:hAnsi="仿宋_GB2312" w:cs="仿宋_GB2312" w:eastAsia="仿宋_GB2312"/>
          <w:sz w:val="24"/>
        </w:rPr>
        <w:t>：</w:t>
      </w:r>
    </w:p>
    <w:tbl>
      <w:tblPr>
        <w:tblW w:w="0" w:type="auto"/>
        <w:tblBorders>
          <w:top w:val="none" w:color="000000" w:sz="4"/>
          <w:left w:val="none" w:color="000000" w:sz="4"/>
          <w:bottom w:val="none" w:color="000000" w:sz="4"/>
          <w:right w:val="none" w:color="000000" w:sz="4"/>
          <w:insideH w:val="none"/>
          <w:insideV w:val="none"/>
        </w:tblBorders>
      </w:tblPr>
      <w:tblGrid>
        <w:gridCol w:w="858"/>
        <w:gridCol w:w="1234"/>
        <w:gridCol w:w="2332"/>
        <w:gridCol w:w="3882"/>
      </w:tblGrid>
      <w:tr>
        <w:tc>
          <w:tcPr>
            <w:tcW w:type="dxa" w:w="8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参数性质</w:t>
            </w:r>
          </w:p>
        </w:tc>
        <w:tc>
          <w:tcPr>
            <w:tcW w:type="dxa" w:w="2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类型</w:t>
            </w:r>
          </w:p>
        </w:tc>
        <w:tc>
          <w:tcPr>
            <w:tcW w:type="dxa" w:w="38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要求</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交货时间</w:t>
            </w:r>
          </w:p>
        </w:tc>
        <w:tc>
          <w:tcPr>
            <w:tcW w:type="dxa" w:w="3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自分签单位发出供货通知后</w:t>
            </w:r>
            <w:r>
              <w:rPr>
                <w:rFonts w:ascii="仿宋_GB2312" w:hAnsi="仿宋_GB2312" w:cs="仿宋_GB2312" w:eastAsia="仿宋_GB2312"/>
                <w:sz w:val="24"/>
              </w:rPr>
              <w:t>60</w:t>
            </w:r>
            <w:r>
              <w:rPr>
                <w:rFonts w:ascii="仿宋_GB2312" w:hAnsi="仿宋_GB2312" w:cs="仿宋_GB2312" w:eastAsia="仿宋_GB2312"/>
                <w:sz w:val="24"/>
              </w:rPr>
              <w:t>个日历日内交货</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交货地点</w:t>
            </w:r>
          </w:p>
        </w:tc>
        <w:tc>
          <w:tcPr>
            <w:tcW w:type="dxa" w:w="3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厦门大学附属第一医院</w:t>
            </w:r>
            <w:r>
              <w:rPr>
                <w:rFonts w:ascii="仿宋_GB2312" w:hAnsi="仿宋_GB2312" w:cs="仿宋_GB2312" w:eastAsia="仿宋_GB2312"/>
                <w:sz w:val="24"/>
              </w:rPr>
              <w:t>（</w:t>
            </w:r>
            <w:r>
              <w:rPr>
                <w:rFonts w:ascii="仿宋_GB2312" w:hAnsi="仿宋_GB2312" w:cs="仿宋_GB2312" w:eastAsia="仿宋_GB2312"/>
                <w:sz w:val="19"/>
              </w:rPr>
              <w:t>厦门市思明区镇海路</w:t>
            </w:r>
            <w:r>
              <w:rPr>
                <w:rFonts w:ascii="仿宋_GB2312" w:hAnsi="仿宋_GB2312" w:cs="仿宋_GB2312" w:eastAsia="仿宋_GB2312"/>
                <w:sz w:val="19"/>
              </w:rPr>
              <w:t>55号</w:t>
            </w:r>
            <w:r>
              <w:rPr>
                <w:rFonts w:ascii="仿宋_GB2312" w:hAnsi="仿宋_GB2312" w:cs="仿宋_GB2312" w:eastAsia="仿宋_GB2312"/>
                <w:sz w:val="24"/>
              </w:rPr>
              <w:t>）</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交货条件</w:t>
            </w:r>
          </w:p>
        </w:tc>
        <w:tc>
          <w:tcPr>
            <w:tcW w:type="dxa" w:w="3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通过最终验收合格</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是否邀请投标人验收</w:t>
            </w:r>
          </w:p>
        </w:tc>
        <w:tc>
          <w:tcPr>
            <w:tcW w:type="dxa" w:w="3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不邀请</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履约验收方式</w:t>
            </w:r>
          </w:p>
        </w:tc>
        <w:tc>
          <w:tcPr>
            <w:tcW w:type="dxa" w:w="3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1、期次1，说明：【详见招标文件下文】。</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合同支付方式</w:t>
            </w:r>
          </w:p>
        </w:tc>
        <w:tc>
          <w:tcPr>
            <w:tcW w:type="dxa" w:w="3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中标人在合同签订后</w:t>
            </w:r>
            <w:r>
              <w:rPr>
                <w:rFonts w:ascii="仿宋_GB2312" w:hAnsi="仿宋_GB2312" w:cs="仿宋_GB2312" w:eastAsia="仿宋_GB2312"/>
                <w:sz w:val="24"/>
              </w:rPr>
              <w:t>3日内提供全额发票，</w:t>
            </w:r>
            <w:r>
              <w:rPr>
                <w:rFonts w:ascii="仿宋_GB2312" w:hAnsi="仿宋_GB2312" w:cs="仿宋_GB2312" w:eastAsia="仿宋_GB2312"/>
                <w:sz w:val="24"/>
              </w:rPr>
              <w:t>分</w:t>
            </w:r>
            <w:r>
              <w:rPr>
                <w:rFonts w:ascii="仿宋_GB2312" w:hAnsi="仿宋_GB2312" w:cs="仿宋_GB2312" w:eastAsia="仿宋_GB2312"/>
                <w:sz w:val="24"/>
              </w:rPr>
              <w:t>签单位在收到履约保证金且合同全部货物最终验收合格并交付使用后，达到付款条件起</w:t>
            </w:r>
            <w:r>
              <w:rPr>
                <w:rFonts w:ascii="仿宋_GB2312" w:hAnsi="仿宋_GB2312" w:cs="仿宋_GB2312" w:eastAsia="仿宋_GB2312"/>
                <w:sz w:val="24"/>
              </w:rPr>
              <w:t>7日，支付合同总金额的100%；。</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履约保证金</w:t>
            </w:r>
          </w:p>
        </w:tc>
        <w:tc>
          <w:tcPr>
            <w:tcW w:type="dxa" w:w="3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缴纳：</w:t>
            </w:r>
          </w:p>
          <w:p>
            <w:pPr>
              <w:pStyle w:val="null3"/>
              <w:ind w:firstLine="480"/>
              <w:jc w:val="left"/>
            </w:pPr>
            <w:r>
              <w:rPr>
                <w:rFonts w:ascii="仿宋_GB2312" w:hAnsi="仿宋_GB2312" w:cs="仿宋_GB2312" w:eastAsia="仿宋_GB2312"/>
                <w:sz w:val="24"/>
              </w:rPr>
              <w:t>本采购包履约保证金为合同金额的【</w:t>
            </w:r>
            <w:r>
              <w:rPr>
                <w:rFonts w:ascii="仿宋_GB2312" w:hAnsi="仿宋_GB2312" w:cs="仿宋_GB2312" w:eastAsia="仿宋_GB2312"/>
                <w:sz w:val="24"/>
              </w:rPr>
              <w:t>3】%。</w:t>
            </w:r>
          </w:p>
          <w:p>
            <w:pPr>
              <w:pStyle w:val="null3"/>
              <w:ind w:firstLine="480"/>
              <w:jc w:val="left"/>
            </w:pPr>
            <w:r>
              <w:rPr>
                <w:rFonts w:ascii="仿宋_GB2312" w:hAnsi="仿宋_GB2312" w:cs="仿宋_GB2312" w:eastAsia="仿宋_GB2312"/>
                <w:sz w:val="24"/>
              </w:rPr>
              <w:t>说明：</w:t>
            </w:r>
          </w:p>
          <w:p>
            <w:pPr>
              <w:pStyle w:val="null3"/>
              <w:ind w:firstLine="480"/>
              <w:jc w:val="left"/>
            </w:pPr>
            <w:r>
              <w:rPr>
                <w:rFonts w:ascii="仿宋_GB2312" w:hAnsi="仿宋_GB2312" w:cs="仿宋_GB2312" w:eastAsia="仿宋_GB2312"/>
                <w:sz w:val="24"/>
              </w:rPr>
              <w:t>收取时间：合同签订时提交。对符合规定的中小企业减半收取履约保证金。</w:t>
            </w:r>
          </w:p>
          <w:p>
            <w:pPr>
              <w:pStyle w:val="null3"/>
              <w:ind w:firstLine="480"/>
              <w:jc w:val="both"/>
            </w:pPr>
            <w:r>
              <w:rPr>
                <w:rFonts w:ascii="仿宋_GB2312" w:hAnsi="仿宋_GB2312" w:cs="仿宋_GB2312" w:eastAsia="仿宋_GB2312"/>
                <w:sz w:val="24"/>
              </w:rPr>
              <w:t>退还时间：整机验收合格满</w:t>
            </w:r>
            <w:r>
              <w:rPr>
                <w:rFonts w:ascii="仿宋_GB2312" w:hAnsi="仿宋_GB2312" w:cs="仿宋_GB2312" w:eastAsia="仿宋_GB2312"/>
                <w:sz w:val="24"/>
              </w:rPr>
              <w:t>5年且无合同纠纷，</w:t>
            </w:r>
            <w:r>
              <w:rPr>
                <w:rFonts w:ascii="仿宋_GB2312" w:hAnsi="仿宋_GB2312" w:cs="仿宋_GB2312" w:eastAsia="仿宋_GB2312"/>
                <w:sz w:val="24"/>
              </w:rPr>
              <w:t>分签单位</w:t>
            </w:r>
            <w:r>
              <w:rPr>
                <w:rFonts w:ascii="仿宋_GB2312" w:hAnsi="仿宋_GB2312" w:cs="仿宋_GB2312" w:eastAsia="仿宋_GB2312"/>
                <w:sz w:val="24"/>
              </w:rPr>
              <w:t>在收到中标人提供的退还申请书后，一次性无息在</w:t>
            </w:r>
            <w:r>
              <w:rPr>
                <w:rFonts w:ascii="仿宋_GB2312" w:hAnsi="仿宋_GB2312" w:cs="仿宋_GB2312" w:eastAsia="仿宋_GB2312"/>
                <w:sz w:val="24"/>
              </w:rPr>
              <w:t>5个工作日内向中标人退还履约保证金。</w:t>
            </w:r>
          </w:p>
          <w:p>
            <w:pPr>
              <w:pStyle w:val="null3"/>
              <w:ind w:firstLine="480"/>
              <w:jc w:val="both"/>
            </w:pPr>
            <w:r>
              <w:rPr>
                <w:rFonts w:ascii="仿宋_GB2312" w:hAnsi="仿宋_GB2312" w:cs="仿宋_GB2312" w:eastAsia="仿宋_GB2312"/>
                <w:sz w:val="24"/>
              </w:rPr>
              <w:t>提交方式：中标人与分签单位自行协商提交履约保证金的方式，中小企业履约保证金减半收取。</w:t>
            </w:r>
          </w:p>
          <w:p>
            <w:pPr>
              <w:pStyle w:val="null3"/>
              <w:ind w:firstLine="480"/>
              <w:jc w:val="both"/>
            </w:pPr>
            <w:r>
              <w:rPr>
                <w:rFonts w:ascii="仿宋_GB2312" w:hAnsi="仿宋_GB2312" w:cs="仿宋_GB2312" w:eastAsia="仿宋_GB2312"/>
                <w:sz w:val="24"/>
              </w:rPr>
              <w:t>不予退还的情形：中标人未按合同约定承担违约责任的，设备使用单位有权不予退还履约保证金。</w:t>
            </w:r>
          </w:p>
        </w:tc>
      </w:tr>
      <w:tr>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其他</w:t>
            </w:r>
          </w:p>
        </w:tc>
        <w:tc>
          <w:tcPr>
            <w:tcW w:type="dxa" w:w="3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因为系统限制编辑，本表中【是否邀请投标人验收】以此为准：分签单位可以视情况邀请参加本项目的其他投标人或者第三方专业机构及专家参与验收。</w:t>
            </w:r>
          </w:p>
        </w:tc>
      </w:tr>
    </w:tbl>
    <w:p>
      <w:pPr>
        <w:pStyle w:val="null3"/>
        <w:jc w:val="left"/>
      </w:pPr>
      <w:r>
        <w:rPr>
          <w:rFonts w:ascii="仿宋_GB2312" w:hAnsi="仿宋_GB2312" w:cs="仿宋_GB2312" w:eastAsia="仿宋_GB2312"/>
        </w:rPr>
        <w:t>履约保证金</w:t>
      </w:r>
    </w:p>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说明：说明：收取时间：合同签订时提交。对符合规定的中小企业减半收取履约保证金。 退还时间：整机验收合格满5年且无合同纠纷，分签单位在收到中标人提供的退还申请书后，一次性无息在5个工作日内向中标人退还履约保证金。 提交方式：中标人与分签单位自行协商提交履约保证金的方式，中小企业履约保证金减半收取。不予退还的情形：中标人未按合同约定承担违约责任的，设备使用单位有权不予退还履约保证金。</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说明：收取时间：合同签订时提交。对符合规定的中小企业减半收取履约保证金。 退还时间：整机验收合格满5年且无合同纠纷，分签单位在收到中标人提供的退还申请书后，一次性无息在5个工作日内向中标人退还履约保证金。 提交方式：中标人与分签单位自行协商提交履约保证金的方式，中小企业履约保证金减半收取。 不予退还的情形：中标人未按合同约定承担违约责任的，设备使用单位有权不予退还履约保证金。</w:t>
      </w:r>
    </w:p>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b/>
        </w:rPr>
        <w:t>（注：除明确指出具体采购包号的条款要求外，其他条款要求各采购包均适用）</w:t>
      </w:r>
    </w:p>
    <w:p>
      <w:pPr>
        <w:pStyle w:val="null3"/>
        <w:ind w:firstLine="480"/>
        <w:jc w:val="left"/>
      </w:pPr>
      <w:r>
        <w:rPr>
          <w:rFonts w:ascii="仿宋_GB2312" w:hAnsi="仿宋_GB2312" w:cs="仿宋_GB2312" w:eastAsia="仿宋_GB2312"/>
          <w:sz w:val="24"/>
          <w:b/>
        </w:rPr>
        <w:t>9、履约验收方式</w:t>
      </w:r>
    </w:p>
    <w:p>
      <w:pPr>
        <w:pStyle w:val="null3"/>
        <w:ind w:firstLine="480"/>
        <w:jc w:val="left"/>
      </w:pPr>
      <w:r>
        <w:rPr>
          <w:rFonts w:ascii="仿宋_GB2312" w:hAnsi="仿宋_GB2312" w:cs="仿宋_GB2312" w:eastAsia="仿宋_GB2312"/>
          <w:sz w:val="24"/>
        </w:rPr>
        <w:t>9.1履约验收主体：分签单位、中标人。同时分签单位可以视情况邀请参加本项目的其他投标人或者第三方专业机构及专家参与验收，相关验收意见作为验收的参考资料。</w:t>
      </w:r>
    </w:p>
    <w:p>
      <w:pPr>
        <w:pStyle w:val="null3"/>
        <w:ind w:firstLine="480"/>
        <w:jc w:val="left"/>
      </w:pPr>
      <w:r>
        <w:rPr>
          <w:rFonts w:ascii="仿宋_GB2312" w:hAnsi="仿宋_GB2312" w:cs="仿宋_GB2312" w:eastAsia="仿宋_GB2312"/>
          <w:sz w:val="24"/>
        </w:rPr>
        <w:t>9.2履约验收时间及程序：</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1）到货检验：货物运抵分签单位指定地点后，由分签单位及中标人共同开箱对照采购清单进行到货验收。</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2）安装调试检验：中标人将设备安装、调试完成后，由分签单位组织验收人员对安装调试情况进行验收。</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3）最终验收：由分签单位组织验收人员进行最终验收。</w:t>
      </w:r>
    </w:p>
    <w:p>
      <w:pPr>
        <w:pStyle w:val="null3"/>
        <w:ind w:firstLine="480"/>
        <w:jc w:val="left"/>
      </w:pPr>
      <w:r>
        <w:rPr>
          <w:rFonts w:ascii="仿宋_GB2312" w:hAnsi="仿宋_GB2312" w:cs="仿宋_GB2312" w:eastAsia="仿宋_GB2312"/>
          <w:sz w:val="24"/>
        </w:rPr>
        <w:t>9.3履约验收内容</w:t>
      </w:r>
    </w:p>
    <w:p>
      <w:pPr>
        <w:pStyle w:val="null3"/>
        <w:ind w:firstLine="480"/>
        <w:jc w:val="left"/>
      </w:pPr>
      <w:r>
        <w:rPr>
          <w:rFonts w:ascii="仿宋_GB2312" w:hAnsi="仿宋_GB2312" w:cs="仿宋_GB2312" w:eastAsia="仿宋_GB2312"/>
          <w:sz w:val="24"/>
        </w:rPr>
        <w:t>验收内容包括招标文件中的每一项技术和商务要求的履约情况。</w:t>
      </w:r>
    </w:p>
    <w:p>
      <w:pPr>
        <w:pStyle w:val="null3"/>
        <w:ind w:firstLine="480"/>
        <w:jc w:val="left"/>
      </w:pPr>
      <w:r>
        <w:rPr>
          <w:rFonts w:ascii="仿宋_GB2312" w:hAnsi="仿宋_GB2312" w:cs="仿宋_GB2312" w:eastAsia="仿宋_GB2312"/>
          <w:sz w:val="24"/>
        </w:rPr>
        <w:t>9.4履约验收验收标准</w:t>
      </w:r>
    </w:p>
    <w:p>
      <w:pPr>
        <w:pStyle w:val="null3"/>
        <w:ind w:firstLine="480"/>
        <w:jc w:val="left"/>
      </w:pPr>
      <w:r>
        <w:rPr>
          <w:rFonts w:ascii="仿宋_GB2312" w:hAnsi="仿宋_GB2312" w:cs="仿宋_GB2312" w:eastAsia="仿宋_GB2312"/>
          <w:sz w:val="24"/>
        </w:rPr>
        <w:t>招标文件、中标人的投标文件、合同及国家有关的质量标准规定，均为验收标准及依据。</w:t>
      </w:r>
    </w:p>
    <w:p>
      <w:pPr>
        <w:pStyle w:val="null3"/>
        <w:ind w:firstLine="482"/>
        <w:jc w:val="left"/>
      </w:pPr>
      <w:r>
        <w:rPr>
          <w:rFonts w:ascii="仿宋_GB2312" w:hAnsi="仿宋_GB2312" w:cs="仿宋_GB2312" w:eastAsia="仿宋_GB2312"/>
          <w:sz w:val="24"/>
          <w:b/>
        </w:rPr>
        <w:t>10、售后服务要求</w:t>
      </w:r>
    </w:p>
    <w:p>
      <w:pPr>
        <w:pStyle w:val="null3"/>
        <w:ind w:firstLine="480"/>
        <w:jc w:val="left"/>
      </w:pPr>
      <w:r>
        <w:rPr>
          <w:rFonts w:ascii="仿宋_GB2312" w:hAnsi="仿宋_GB2312" w:cs="仿宋_GB2312" w:eastAsia="仿宋_GB2312"/>
          <w:sz w:val="24"/>
        </w:rPr>
        <w:t>10.1投标人应按照本采购项目特点提供长期良好的售后服务，并在投标文件中提供详细具体的售后服务承诺条款及保证。</w:t>
      </w:r>
    </w:p>
    <w:p>
      <w:pPr>
        <w:pStyle w:val="null3"/>
        <w:ind w:firstLine="480"/>
        <w:jc w:val="left"/>
      </w:pPr>
      <w:r>
        <w:rPr>
          <w:rFonts w:ascii="仿宋_GB2312" w:hAnsi="仿宋_GB2312" w:cs="仿宋_GB2312" w:eastAsia="仿宋_GB2312"/>
          <w:sz w:val="24"/>
        </w:rPr>
        <w:t>10.2投标人必须负责设备安装到位，包括与该设备相关的实地勘测、装修、运输、装卸、安装、调试等费用（均包括材料和人工费）。本项目为交钥匙项目，安装完成后即可投入使用。以上所需费用包含在投标总价中。</w:t>
      </w:r>
    </w:p>
    <w:p>
      <w:pPr>
        <w:pStyle w:val="null3"/>
        <w:ind w:firstLine="482"/>
        <w:jc w:val="left"/>
      </w:pPr>
      <w:r>
        <w:rPr>
          <w:rFonts w:ascii="仿宋_GB2312" w:hAnsi="仿宋_GB2312" w:cs="仿宋_GB2312" w:eastAsia="仿宋_GB2312"/>
          <w:sz w:val="24"/>
          <w:b/>
        </w:rPr>
        <w:t>10.3采购包1：★保修期：本项目自验收合格之日起至少提供 5 年</w:t>
      </w:r>
      <w:r>
        <w:rPr>
          <w:rFonts w:ascii="仿宋_GB2312" w:hAnsi="仿宋_GB2312" w:cs="仿宋_GB2312" w:eastAsia="仿宋_GB2312"/>
          <w:sz w:val="24"/>
          <w:b/>
        </w:rPr>
        <w:t>原厂</w:t>
      </w:r>
      <w:r>
        <w:rPr>
          <w:rFonts w:ascii="仿宋_GB2312" w:hAnsi="仿宋_GB2312" w:cs="仿宋_GB2312" w:eastAsia="仿宋_GB2312"/>
          <w:sz w:val="24"/>
          <w:b/>
        </w:rPr>
        <w:t>保修。机器到货时间应在出厂日期</w:t>
      </w:r>
      <w:r>
        <w:rPr>
          <w:rFonts w:ascii="仿宋_GB2312" w:hAnsi="仿宋_GB2312" w:cs="仿宋_GB2312" w:eastAsia="仿宋_GB2312"/>
          <w:sz w:val="24"/>
          <w:b/>
        </w:rPr>
        <w:t>180天以内。保修期间中标人应提供一切原厂维修服务和更换原厂零配件。设备保修期内，中标人需提供来自原厂每年至少4次的设备技术安全巡检保养并提供年度巡检保养报告给分签单位存档。以上保修期内所需的费用均包含在投标总价中，分签单位不再另行付费。对以上要求投标人需提供承诺函，否则投标无效。</w:t>
      </w:r>
    </w:p>
    <w:p>
      <w:pPr>
        <w:pStyle w:val="null3"/>
        <w:ind w:firstLine="482"/>
        <w:jc w:val="left"/>
      </w:pPr>
      <w:r>
        <w:rPr>
          <w:rFonts w:ascii="仿宋_GB2312" w:hAnsi="仿宋_GB2312" w:cs="仿宋_GB2312" w:eastAsia="仿宋_GB2312"/>
          <w:sz w:val="24"/>
          <w:b/>
        </w:rPr>
        <w:t>采购包</w:t>
      </w:r>
      <w:r>
        <w:rPr>
          <w:rFonts w:ascii="仿宋_GB2312" w:hAnsi="仿宋_GB2312" w:cs="仿宋_GB2312" w:eastAsia="仿宋_GB2312"/>
          <w:sz w:val="24"/>
          <w:b/>
        </w:rPr>
        <w:t>2：★保修期：本项目自验收合格之日起至少提供</w:t>
      </w:r>
      <w:r>
        <w:rPr>
          <w:rFonts w:ascii="仿宋_GB2312" w:hAnsi="仿宋_GB2312" w:cs="仿宋_GB2312" w:eastAsia="仿宋_GB2312"/>
          <w:b/>
        </w:rPr>
        <w:t xml:space="preserve"> </w:t>
      </w:r>
      <w:r>
        <w:rPr>
          <w:rFonts w:ascii="仿宋_GB2312" w:hAnsi="仿宋_GB2312" w:cs="仿宋_GB2312" w:eastAsia="仿宋_GB2312"/>
          <w:sz w:val="24"/>
          <w:b/>
        </w:rPr>
        <w:t>5 年</w:t>
      </w:r>
      <w:r>
        <w:rPr>
          <w:rFonts w:ascii="仿宋_GB2312" w:hAnsi="仿宋_GB2312" w:cs="仿宋_GB2312" w:eastAsia="仿宋_GB2312"/>
          <w:sz w:val="24"/>
          <w:b/>
        </w:rPr>
        <w:t>原厂</w:t>
      </w:r>
      <w:r>
        <w:rPr>
          <w:rFonts w:ascii="仿宋_GB2312" w:hAnsi="仿宋_GB2312" w:cs="仿宋_GB2312" w:eastAsia="仿宋_GB2312"/>
          <w:sz w:val="24"/>
          <w:b/>
        </w:rPr>
        <w:t>保修。机器到货时间应在出厂日期</w:t>
      </w:r>
      <w:r>
        <w:rPr>
          <w:rFonts w:ascii="仿宋_GB2312" w:hAnsi="仿宋_GB2312" w:cs="仿宋_GB2312" w:eastAsia="仿宋_GB2312"/>
          <w:sz w:val="24"/>
          <w:b/>
        </w:rPr>
        <w:t>180天以内。保修期间中标人应提供一切维修服务和更换零配件。设备保修期内，中标人需提供来自原厂每年至少6次的设备技术安全巡检保养并提供年度巡检保养报告给分签单位存档。以上保修期内所需的费用均包含在投标总价中，分签单位不再另行付费。对以上要求投标人需提供承诺函，否则投标无效。</w:t>
      </w:r>
    </w:p>
    <w:p>
      <w:pPr>
        <w:pStyle w:val="null3"/>
        <w:ind w:firstLine="482"/>
        <w:jc w:val="left"/>
      </w:pPr>
      <w:r>
        <w:rPr>
          <w:rFonts w:ascii="仿宋_GB2312" w:hAnsi="仿宋_GB2312" w:cs="仿宋_GB2312" w:eastAsia="仿宋_GB2312"/>
          <w:sz w:val="24"/>
          <w:b/>
        </w:rPr>
        <w:t>10.4采购包1：★在</w:t>
      </w:r>
      <w:r>
        <w:rPr>
          <w:rFonts w:ascii="仿宋_GB2312" w:hAnsi="仿宋_GB2312" w:cs="仿宋_GB2312" w:eastAsia="仿宋_GB2312"/>
          <w:sz w:val="24"/>
          <w:b/>
        </w:rPr>
        <w:t>保修期</w:t>
      </w:r>
      <w:r>
        <w:rPr>
          <w:rFonts w:ascii="仿宋_GB2312" w:hAnsi="仿宋_GB2312" w:cs="仿宋_GB2312" w:eastAsia="仿宋_GB2312"/>
          <w:sz w:val="24"/>
          <w:b/>
        </w:rPr>
        <w:t>内，中标人应确保年开机率在</w:t>
      </w:r>
      <w:r>
        <w:rPr>
          <w:rFonts w:ascii="仿宋_GB2312" w:hAnsi="仿宋_GB2312" w:cs="仿宋_GB2312" w:eastAsia="仿宋_GB2312"/>
          <w:sz w:val="24"/>
          <w:b/>
        </w:rPr>
        <w:t>97%（含）以上，若不能达到此开机率，将作以下处理：</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1）年开机率在90（含）-97%（不含）之间，延长</w:t>
      </w:r>
      <w:r>
        <w:rPr>
          <w:rFonts w:ascii="仿宋_GB2312" w:hAnsi="仿宋_GB2312" w:cs="仿宋_GB2312" w:eastAsia="仿宋_GB2312"/>
          <w:sz w:val="24"/>
          <w:b/>
        </w:rPr>
        <w:t>保修期</w:t>
      </w:r>
      <w:r>
        <w:rPr>
          <w:rFonts w:ascii="仿宋_GB2312" w:hAnsi="仿宋_GB2312" w:cs="仿宋_GB2312" w:eastAsia="仿宋_GB2312"/>
          <w:sz w:val="24"/>
          <w:b/>
        </w:rPr>
        <w:t>1年；</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2）年开机率在85（含）-90%（不含）之间，延长</w:t>
      </w:r>
      <w:r>
        <w:rPr>
          <w:rFonts w:ascii="仿宋_GB2312" w:hAnsi="仿宋_GB2312" w:cs="仿宋_GB2312" w:eastAsia="仿宋_GB2312"/>
          <w:sz w:val="24"/>
          <w:b/>
        </w:rPr>
        <w:t>保修期</w:t>
      </w:r>
      <w:r>
        <w:rPr>
          <w:rFonts w:ascii="仿宋_GB2312" w:hAnsi="仿宋_GB2312" w:cs="仿宋_GB2312" w:eastAsia="仿宋_GB2312"/>
          <w:sz w:val="24"/>
          <w:b/>
        </w:rPr>
        <w:t>2年；</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3）年开机率低于85%（不含），中标人应无条件更换新机，并重新计算</w:t>
      </w:r>
      <w:r>
        <w:rPr>
          <w:rFonts w:ascii="仿宋_GB2312" w:hAnsi="仿宋_GB2312" w:cs="仿宋_GB2312" w:eastAsia="仿宋_GB2312"/>
          <w:sz w:val="24"/>
          <w:b/>
        </w:rPr>
        <w:t>保修期</w:t>
      </w:r>
      <w:r>
        <w:rPr>
          <w:rFonts w:ascii="仿宋_GB2312" w:hAnsi="仿宋_GB2312" w:cs="仿宋_GB2312" w:eastAsia="仿宋_GB2312"/>
          <w:sz w:val="24"/>
          <w:b/>
        </w:rPr>
        <w:t>，以及赔偿医院的直接经济损失和间接经济损失。</w:t>
      </w:r>
    </w:p>
    <w:p>
      <w:pPr>
        <w:pStyle w:val="null3"/>
        <w:ind w:firstLine="482"/>
        <w:jc w:val="left"/>
      </w:pPr>
      <w:r>
        <w:rPr>
          <w:rFonts w:ascii="仿宋_GB2312" w:hAnsi="仿宋_GB2312" w:cs="仿宋_GB2312" w:eastAsia="仿宋_GB2312"/>
          <w:sz w:val="24"/>
          <w:b/>
        </w:rPr>
        <w:t>注：年开机率</w:t>
      </w:r>
      <w:r>
        <w:rPr>
          <w:rFonts w:ascii="仿宋_GB2312" w:hAnsi="仿宋_GB2312" w:cs="仿宋_GB2312" w:eastAsia="仿宋_GB2312"/>
          <w:sz w:val="24"/>
          <w:b/>
        </w:rPr>
        <w:t>=（365-停机天数）/365）。</w:t>
      </w:r>
    </w:p>
    <w:p>
      <w:pPr>
        <w:pStyle w:val="null3"/>
        <w:ind w:firstLine="482"/>
        <w:jc w:val="left"/>
      </w:pPr>
      <w:r>
        <w:rPr>
          <w:rFonts w:ascii="仿宋_GB2312" w:hAnsi="仿宋_GB2312" w:cs="仿宋_GB2312" w:eastAsia="仿宋_GB2312"/>
          <w:sz w:val="24"/>
          <w:b/>
        </w:rPr>
        <w:t>对以上要求投标人需提供承诺函，否则投标无效。</w:t>
      </w:r>
    </w:p>
    <w:p>
      <w:pPr>
        <w:pStyle w:val="null3"/>
        <w:ind w:firstLine="482"/>
        <w:jc w:val="left"/>
      </w:pPr>
      <w:r>
        <w:rPr>
          <w:rFonts w:ascii="仿宋_GB2312" w:hAnsi="仿宋_GB2312" w:cs="仿宋_GB2312" w:eastAsia="仿宋_GB2312"/>
          <w:sz w:val="24"/>
          <w:b/>
        </w:rPr>
        <w:t>采购包</w:t>
      </w:r>
      <w:r>
        <w:rPr>
          <w:rFonts w:ascii="仿宋_GB2312" w:hAnsi="仿宋_GB2312" w:cs="仿宋_GB2312" w:eastAsia="仿宋_GB2312"/>
          <w:sz w:val="24"/>
          <w:b/>
        </w:rPr>
        <w:t>2：★在</w:t>
      </w:r>
      <w:r>
        <w:rPr>
          <w:rFonts w:ascii="仿宋_GB2312" w:hAnsi="仿宋_GB2312" w:cs="仿宋_GB2312" w:eastAsia="仿宋_GB2312"/>
          <w:sz w:val="24"/>
          <w:b/>
        </w:rPr>
        <w:t>保修期内，中标人应确保年开机率在</w:t>
      </w:r>
      <w:r>
        <w:rPr>
          <w:rFonts w:ascii="仿宋_GB2312" w:hAnsi="仿宋_GB2312" w:cs="仿宋_GB2312" w:eastAsia="仿宋_GB2312"/>
          <w:sz w:val="24"/>
          <w:b/>
        </w:rPr>
        <w:t>9</w:t>
      </w:r>
      <w:r>
        <w:rPr>
          <w:rFonts w:ascii="仿宋_GB2312" w:hAnsi="仿宋_GB2312" w:cs="仿宋_GB2312" w:eastAsia="仿宋_GB2312"/>
          <w:sz w:val="24"/>
          <w:b/>
        </w:rPr>
        <w:t>7</w:t>
      </w:r>
      <w:r>
        <w:rPr>
          <w:rFonts w:ascii="仿宋_GB2312" w:hAnsi="仿宋_GB2312" w:cs="仿宋_GB2312" w:eastAsia="仿宋_GB2312"/>
          <w:sz w:val="24"/>
          <w:b/>
        </w:rPr>
        <w:t>%（含）以上，若不能达到此开机率，将作以下处理：</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1）年开机率在90（含）-9</w:t>
      </w:r>
      <w:r>
        <w:rPr>
          <w:rFonts w:ascii="仿宋_GB2312" w:hAnsi="仿宋_GB2312" w:cs="仿宋_GB2312" w:eastAsia="仿宋_GB2312"/>
          <w:sz w:val="24"/>
          <w:b/>
        </w:rPr>
        <w:t>7</w:t>
      </w:r>
      <w:r>
        <w:rPr>
          <w:rFonts w:ascii="仿宋_GB2312" w:hAnsi="仿宋_GB2312" w:cs="仿宋_GB2312" w:eastAsia="仿宋_GB2312"/>
          <w:sz w:val="24"/>
          <w:b/>
        </w:rPr>
        <w:t>%（不含）之间，延长</w:t>
      </w:r>
      <w:r>
        <w:rPr>
          <w:rFonts w:ascii="仿宋_GB2312" w:hAnsi="仿宋_GB2312" w:cs="仿宋_GB2312" w:eastAsia="仿宋_GB2312"/>
          <w:sz w:val="24"/>
          <w:b/>
        </w:rPr>
        <w:t>保修期</w:t>
      </w:r>
      <w:r>
        <w:rPr>
          <w:rFonts w:ascii="仿宋_GB2312" w:hAnsi="仿宋_GB2312" w:cs="仿宋_GB2312" w:eastAsia="仿宋_GB2312"/>
          <w:sz w:val="24"/>
          <w:b/>
        </w:rPr>
        <w:t>1年；</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2）年开机率在85（含）-90%（不含）之间，延长</w:t>
      </w:r>
      <w:r>
        <w:rPr>
          <w:rFonts w:ascii="仿宋_GB2312" w:hAnsi="仿宋_GB2312" w:cs="仿宋_GB2312" w:eastAsia="仿宋_GB2312"/>
          <w:sz w:val="24"/>
          <w:b/>
        </w:rPr>
        <w:t>保修期</w:t>
      </w:r>
      <w:r>
        <w:rPr>
          <w:rFonts w:ascii="仿宋_GB2312" w:hAnsi="仿宋_GB2312" w:cs="仿宋_GB2312" w:eastAsia="仿宋_GB2312"/>
          <w:sz w:val="24"/>
          <w:b/>
        </w:rPr>
        <w:t>2年；</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3）年开机率低于85%（不含），中标人应无条件更换新机，并重新计算</w:t>
      </w:r>
      <w:r>
        <w:rPr>
          <w:rFonts w:ascii="仿宋_GB2312" w:hAnsi="仿宋_GB2312" w:cs="仿宋_GB2312" w:eastAsia="仿宋_GB2312"/>
          <w:sz w:val="24"/>
          <w:b/>
        </w:rPr>
        <w:t>保修期，以及赔偿医院的直接经济损失和间接经济损失。</w:t>
      </w:r>
    </w:p>
    <w:p>
      <w:pPr>
        <w:pStyle w:val="null3"/>
        <w:ind w:firstLine="482"/>
        <w:jc w:val="left"/>
      </w:pPr>
      <w:r>
        <w:rPr>
          <w:rFonts w:ascii="仿宋_GB2312" w:hAnsi="仿宋_GB2312" w:cs="仿宋_GB2312" w:eastAsia="仿宋_GB2312"/>
          <w:sz w:val="24"/>
          <w:b/>
        </w:rPr>
        <w:t>注：年开机率</w:t>
      </w:r>
      <w:r>
        <w:rPr>
          <w:rFonts w:ascii="仿宋_GB2312" w:hAnsi="仿宋_GB2312" w:cs="仿宋_GB2312" w:eastAsia="仿宋_GB2312"/>
          <w:sz w:val="24"/>
          <w:b/>
        </w:rPr>
        <w:t>=（365-停机天数）/365）。</w:t>
      </w:r>
    </w:p>
    <w:p>
      <w:pPr>
        <w:pStyle w:val="null3"/>
        <w:ind w:firstLine="482"/>
        <w:jc w:val="left"/>
      </w:pPr>
      <w:r>
        <w:rPr>
          <w:rFonts w:ascii="仿宋_GB2312" w:hAnsi="仿宋_GB2312" w:cs="仿宋_GB2312" w:eastAsia="仿宋_GB2312"/>
          <w:sz w:val="24"/>
          <w:b/>
        </w:rPr>
        <w:t>对以上要求投标人需提供承诺函，否则投标无效。</w:t>
      </w:r>
    </w:p>
    <w:p>
      <w:pPr>
        <w:pStyle w:val="null3"/>
        <w:ind w:firstLine="482"/>
        <w:jc w:val="left"/>
      </w:pPr>
      <w:r>
        <w:rPr>
          <w:rFonts w:ascii="仿宋_GB2312" w:hAnsi="仿宋_GB2312" w:cs="仿宋_GB2312" w:eastAsia="仿宋_GB2312"/>
          <w:sz w:val="24"/>
        </w:rPr>
        <w:t>10.5采购包</w:t>
      </w:r>
      <w:r>
        <w:rPr>
          <w:rFonts w:ascii="仿宋_GB2312" w:hAnsi="仿宋_GB2312" w:cs="仿宋_GB2312" w:eastAsia="仿宋_GB2312"/>
          <w:sz w:val="24"/>
        </w:rPr>
        <w:t>1：投标人承诺：保修期内，厂方必须派1名工程师驻点(办公地点由医院提供)到医院现场提供维修、保养服务，驻点工程师须根据医院药房上班时间(包括节假日)提供服务，服务响应时间≤5分钟，解决问题最长期限≤24小时且提供售后服务的工程师必须提供厂家培训认证书。投标人须提供书面承诺。采购包2：投标人承诺：保修期内若出现任何故障问题，在接到分签单位通知后1小时内响应，12小时内维修人员到达现场；其中发生一切费用由中标人承担。</w:t>
      </w:r>
      <w:r>
        <w:rPr>
          <w:rFonts w:ascii="仿宋_GB2312" w:hAnsi="仿宋_GB2312" w:cs="仿宋_GB2312" w:eastAsia="仿宋_GB2312"/>
          <w:sz w:val="24"/>
        </w:rPr>
        <w:t>24小时内无法排除故障的，保修期内中标人应予以更换新设备或提供同型号代用设备或提出其他使设备可正常运转的措施。以便于分签单位作出应对措施。</w:t>
      </w:r>
    </w:p>
    <w:p>
      <w:pPr>
        <w:pStyle w:val="null3"/>
        <w:ind w:firstLine="480"/>
        <w:jc w:val="left"/>
      </w:pPr>
      <w:r>
        <w:rPr>
          <w:rFonts w:ascii="仿宋_GB2312" w:hAnsi="仿宋_GB2312" w:cs="仿宋_GB2312" w:eastAsia="仿宋_GB2312"/>
          <w:sz w:val="24"/>
        </w:rPr>
        <w:t>10.6保修期满前1个月内中标人应就所有货物进行一次全面检查，并写出正式报告，如发现潜在问题，应负责排除。如出现质量问题，在保修期内对设备进行维修和零配件的更换。</w:t>
      </w:r>
    </w:p>
    <w:p>
      <w:pPr>
        <w:pStyle w:val="null3"/>
        <w:ind w:firstLine="480"/>
        <w:jc w:val="left"/>
      </w:pPr>
      <w:r>
        <w:rPr>
          <w:rFonts w:ascii="仿宋_GB2312" w:hAnsi="仿宋_GB2312" w:cs="仿宋_GB2312" w:eastAsia="仿宋_GB2312"/>
          <w:sz w:val="24"/>
        </w:rPr>
        <w:t>10.7投标人应列出保修期后提供的服务方式及所需的费用。</w:t>
      </w:r>
    </w:p>
    <w:p>
      <w:pPr>
        <w:pStyle w:val="null3"/>
        <w:ind w:firstLine="480"/>
        <w:jc w:val="left"/>
      </w:pPr>
      <w:r>
        <w:rPr>
          <w:rFonts w:ascii="仿宋_GB2312" w:hAnsi="仿宋_GB2312" w:cs="仿宋_GB2312" w:eastAsia="仿宋_GB2312"/>
          <w:sz w:val="24"/>
        </w:rPr>
        <w:t>10.8投标人应为分签单位提供全部设备的操作、使用及维护的技术培训服务。</w:t>
      </w:r>
    </w:p>
    <w:p>
      <w:pPr>
        <w:pStyle w:val="null3"/>
        <w:ind w:firstLine="480"/>
        <w:jc w:val="left"/>
      </w:pPr>
      <w:r>
        <w:rPr>
          <w:rFonts w:ascii="仿宋_GB2312" w:hAnsi="仿宋_GB2312" w:cs="仿宋_GB2312" w:eastAsia="仿宋_GB2312"/>
          <w:sz w:val="24"/>
        </w:rPr>
        <w:t>10.9投标人应承诺能长期提供良好的技术支持及备品备件的优惠供应。</w:t>
      </w:r>
    </w:p>
    <w:p>
      <w:pPr>
        <w:pStyle w:val="null3"/>
        <w:ind w:firstLine="480"/>
        <w:jc w:val="left"/>
      </w:pPr>
      <w:r>
        <w:rPr>
          <w:rFonts w:ascii="仿宋_GB2312" w:hAnsi="仿宋_GB2312" w:cs="仿宋_GB2312" w:eastAsia="仿宋_GB2312"/>
          <w:sz w:val="24"/>
        </w:rPr>
        <w:t>10.10投标人认为有利于分签单位的其他优惠条款应单独列明。</w:t>
      </w:r>
    </w:p>
    <w:p>
      <w:pPr>
        <w:pStyle w:val="null3"/>
        <w:ind w:firstLine="480"/>
        <w:jc w:val="left"/>
      </w:pPr>
      <w:r>
        <w:rPr>
          <w:rFonts w:ascii="仿宋_GB2312" w:hAnsi="仿宋_GB2312" w:cs="仿宋_GB2312" w:eastAsia="仿宋_GB2312"/>
          <w:sz w:val="24"/>
          <w:b/>
        </w:rPr>
        <w:t>11、报价要求</w:t>
      </w:r>
    </w:p>
    <w:p>
      <w:pPr>
        <w:pStyle w:val="null3"/>
        <w:ind w:firstLine="480"/>
        <w:jc w:val="left"/>
      </w:pPr>
      <w:r>
        <w:rPr>
          <w:rFonts w:ascii="仿宋_GB2312" w:hAnsi="仿宋_GB2312" w:cs="仿宋_GB2312" w:eastAsia="仿宋_GB2312"/>
          <w:sz w:val="24"/>
        </w:rPr>
        <w:t>11.1本项目分为2个包采购，投标人对所投采购包的内容必须完整响应，否则将视为无效投标。</w:t>
      </w:r>
    </w:p>
    <w:p>
      <w:pPr>
        <w:pStyle w:val="null3"/>
        <w:ind w:firstLine="480"/>
        <w:jc w:val="left"/>
      </w:pPr>
      <w:r>
        <w:rPr>
          <w:rFonts w:ascii="仿宋_GB2312" w:hAnsi="仿宋_GB2312" w:cs="仿宋_GB2312" w:eastAsia="仿宋_GB2312"/>
          <w:sz w:val="24"/>
        </w:rPr>
        <w:t>11.2报价应以人民币为货币单位，应分单价、小计和总价。</w:t>
      </w:r>
    </w:p>
    <w:p>
      <w:pPr>
        <w:pStyle w:val="null3"/>
        <w:ind w:firstLine="480"/>
        <w:jc w:val="left"/>
      </w:pPr>
      <w:r>
        <w:rPr>
          <w:rFonts w:ascii="仿宋_GB2312" w:hAnsi="仿宋_GB2312" w:cs="仿宋_GB2312" w:eastAsia="仿宋_GB2312"/>
          <w:sz w:val="24"/>
        </w:rPr>
        <w:t>11.3本项目为交钥匙项目，报价为产品送达分签单位指定地点进行安装，经分签单位验收合格所发生的一切费用，其包括但不限于以下费用：产品（含主要设备、配件、辅材）供应、运输装卸费、保险费、采购保管费、安装费、调试费、信息系统对接费用、行政规费与税费、产品检验检测、操作人员培训费、管理费、验收费、第三方检测费用、</w:t>
      </w:r>
      <w:r>
        <w:rPr>
          <w:rFonts w:ascii="仿宋_GB2312" w:hAnsi="仿宋_GB2312" w:cs="仿宋_GB2312" w:eastAsia="仿宋_GB2312"/>
          <w:sz w:val="24"/>
        </w:rPr>
        <w:t>售后服务等所有费用。</w:t>
      </w:r>
    </w:p>
    <w:p>
      <w:pPr>
        <w:pStyle w:val="null3"/>
        <w:ind w:firstLine="480"/>
        <w:jc w:val="left"/>
      </w:pPr>
      <w:r>
        <w:rPr>
          <w:rFonts w:ascii="仿宋_GB2312" w:hAnsi="仿宋_GB2312" w:cs="仿宋_GB2312" w:eastAsia="仿宋_GB2312"/>
          <w:sz w:val="24"/>
        </w:rPr>
        <w:t>11.4本项目如涉及与医院在用信息系统（包含但不限于：HIS系统、Pacs系统、</w:t>
      </w:r>
      <w:r>
        <w:rPr>
          <w:rFonts w:ascii="仿宋_GB2312" w:hAnsi="仿宋_GB2312" w:cs="仿宋_GB2312" w:eastAsia="仿宋_GB2312"/>
          <w:sz w:val="22"/>
        </w:rPr>
        <w:t>LIS</w:t>
      </w:r>
      <w:r>
        <w:rPr>
          <w:rFonts w:ascii="仿宋_GB2312" w:hAnsi="仿宋_GB2312" w:cs="仿宋_GB2312" w:eastAsia="仿宋_GB2312"/>
          <w:sz w:val="24"/>
        </w:rPr>
        <w:t>等，相关接口信息可现场踏勘获悉）与本项目设备接入需求产生的系统改造、第三方系统对接所需等费用均已包含在本项目总价中，由中标人与相关第三方供应商协商，医院不再为此支付任何费用。</w:t>
      </w:r>
    </w:p>
    <w:p>
      <w:pPr>
        <w:pStyle w:val="null3"/>
        <w:ind w:firstLine="480"/>
        <w:jc w:val="left"/>
      </w:pPr>
      <w:r>
        <w:rPr>
          <w:rFonts w:ascii="仿宋_GB2312" w:hAnsi="仿宋_GB2312" w:cs="仿宋_GB2312" w:eastAsia="仿宋_GB2312"/>
          <w:sz w:val="24"/>
        </w:rPr>
        <w:t>11.5投标人单价报价中漏报、少报的费用，视为此项费用已隐含在总报价中，中标后不得再向分签单位收取任何费用。</w:t>
      </w:r>
    </w:p>
    <w:p>
      <w:pPr>
        <w:pStyle w:val="null3"/>
        <w:ind w:firstLine="480"/>
        <w:jc w:val="left"/>
      </w:pPr>
      <w:r>
        <w:rPr>
          <w:rFonts w:ascii="仿宋_GB2312" w:hAnsi="仿宋_GB2312" w:cs="仿宋_GB2312" w:eastAsia="仿宋_GB2312"/>
          <w:sz w:val="24"/>
        </w:rPr>
        <w:t>11.6技术参数中要求选配、按需配置的部分，已包含在总报价中，中标后不得再向分签单位收取任何费用。</w:t>
      </w:r>
    </w:p>
    <w:p>
      <w:pPr>
        <w:pStyle w:val="null3"/>
        <w:ind w:firstLine="480"/>
        <w:jc w:val="left"/>
      </w:pPr>
      <w:r>
        <w:rPr>
          <w:rFonts w:ascii="仿宋_GB2312" w:hAnsi="仿宋_GB2312" w:cs="仿宋_GB2312" w:eastAsia="仿宋_GB2312"/>
          <w:sz w:val="24"/>
        </w:rPr>
        <w:t>11.7本次招标要求投标人对同一合同包的所有医院使用相同品牌型号设备进行报价，所报设备单价也必须保持一致，否则评标委员会可作出不利评审。</w:t>
      </w:r>
    </w:p>
    <w:p>
      <w:pPr>
        <w:pStyle w:val="null3"/>
        <w:ind w:firstLine="480"/>
        <w:jc w:val="left"/>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投标分项报价表格式</w:t>
      </w:r>
    </w:p>
    <w:p>
      <w:pPr>
        <w:pStyle w:val="null3"/>
        <w:ind w:firstLine="480"/>
        <w:jc w:val="left"/>
      </w:pPr>
      <w:r>
        <w:rPr>
          <w:rFonts w:ascii="仿宋_GB2312" w:hAnsi="仿宋_GB2312" w:cs="仿宋_GB2312" w:eastAsia="仿宋_GB2312"/>
          <w:sz w:val="24"/>
          <w:b/>
        </w:rPr>
        <w:t>采购包</w:t>
      </w:r>
      <w:r>
        <w:rPr>
          <w:rFonts w:ascii="仿宋_GB2312" w:hAnsi="仿宋_GB2312" w:cs="仿宋_GB2312" w:eastAsia="仿宋_GB2312"/>
          <w:sz w:val="24"/>
          <w:b/>
        </w:rPr>
        <w:t>1：</w:t>
      </w:r>
      <w:r>
        <w:rPr>
          <w:rFonts w:ascii="仿宋_GB2312" w:hAnsi="仿宋_GB2312" w:cs="仿宋_GB2312" w:eastAsia="仿宋_GB2312"/>
          <w:sz w:val="24"/>
          <w:b/>
        </w:rPr>
        <w:t>分签单位</w:t>
      </w:r>
      <w:r>
        <w:rPr>
          <w:rFonts w:ascii="仿宋_GB2312" w:hAnsi="仿宋_GB2312" w:cs="仿宋_GB2312" w:eastAsia="仿宋_GB2312"/>
          <w:sz w:val="24"/>
          <w:b/>
        </w:rPr>
        <w:t>：</w:t>
      </w:r>
      <w:r>
        <w:rPr>
          <w:rFonts w:ascii="仿宋_GB2312" w:hAnsi="仿宋_GB2312" w:cs="仿宋_GB2312" w:eastAsia="仿宋_GB2312"/>
          <w:sz w:val="24"/>
        </w:rPr>
        <w:t>厦门大学附属心血管病医院</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681"/>
        <w:gridCol w:w="2561"/>
        <w:gridCol w:w="1333"/>
        <w:gridCol w:w="1407"/>
        <w:gridCol w:w="1288"/>
        <w:gridCol w:w="1036"/>
      </w:tblGrid>
      <w:tr>
        <w:tc>
          <w:tcPr>
            <w:tcW w:type="dxa" w:w="6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序号</w:t>
            </w:r>
          </w:p>
        </w:tc>
        <w:tc>
          <w:tcPr>
            <w:tcW w:type="dxa" w:w="25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配置清单</w:t>
            </w:r>
          </w:p>
        </w:tc>
        <w:tc>
          <w:tcPr>
            <w:tcW w:type="dxa" w:w="13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数量</w:t>
            </w:r>
          </w:p>
        </w:tc>
        <w:tc>
          <w:tcPr>
            <w:tcW w:type="dxa" w:w="1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单位</w:t>
            </w:r>
          </w:p>
        </w:tc>
        <w:tc>
          <w:tcPr>
            <w:tcW w:type="dxa" w:w="1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投标报价</w:t>
            </w:r>
          </w:p>
          <w:p>
            <w:pPr>
              <w:pStyle w:val="null3"/>
              <w:ind w:firstLine="380"/>
              <w:jc w:val="center"/>
            </w:pPr>
            <w:r>
              <w:rPr>
                <w:rFonts w:ascii="仿宋_GB2312" w:hAnsi="仿宋_GB2312" w:cs="仿宋_GB2312" w:eastAsia="仿宋_GB2312"/>
                <w:sz w:val="24"/>
                <w:b/>
                <w:color w:val="000000"/>
              </w:rPr>
              <w:t>（万元）</w:t>
            </w:r>
          </w:p>
        </w:tc>
        <w:tc>
          <w:tcPr>
            <w:tcW w:type="dxa" w:w="10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小计</w:t>
            </w:r>
          </w:p>
          <w:p>
            <w:pPr>
              <w:pStyle w:val="null3"/>
              <w:ind w:firstLine="380"/>
              <w:jc w:val="center"/>
            </w:pPr>
            <w:r>
              <w:rPr>
                <w:rFonts w:ascii="仿宋_GB2312" w:hAnsi="仿宋_GB2312" w:cs="仿宋_GB2312" w:eastAsia="仿宋_GB2312"/>
                <w:sz w:val="24"/>
                <w:b/>
                <w:color w:val="000000"/>
              </w:rPr>
              <w:t>（万元）</w:t>
            </w: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2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全自动发药机</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自动批量补药机</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出药传送皮带</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双工位绑定台</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个</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预配缓存机</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个</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地面传输线</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智能药篮</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300</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个</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自动窗口缓存架</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56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回筐线</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56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码筐机</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5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直发螺旋改造</w:t>
            </w:r>
          </w:p>
        </w:tc>
        <w:tc>
          <w:tcPr>
            <w:tcW w:type="dxa" w:w="133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机内追溯码模块</w:t>
            </w:r>
          </w:p>
        </w:tc>
        <w:tc>
          <w:tcPr>
            <w:tcW w:type="dxa" w:w="13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高拍仪</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药品智能配送系统</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可视化中央监控系统</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原设备移位以及改造</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基建改造</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自动化药房管理软件</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19</w:t>
            </w:r>
          </w:p>
        </w:tc>
        <w:tc>
          <w:tcPr>
            <w:tcW w:type="dxa" w:w="2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b/>
                <w:color w:val="000000"/>
              </w:rPr>
              <w:t>合计（万元）</w:t>
            </w:r>
          </w:p>
        </w:tc>
        <w:tc>
          <w:tcPr>
            <w:tcW w:type="dxa" w:w="50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830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注：（</w:t>
            </w:r>
            <w:r>
              <w:rPr>
                <w:rFonts w:ascii="仿宋_GB2312" w:hAnsi="仿宋_GB2312" w:cs="仿宋_GB2312" w:eastAsia="仿宋_GB2312"/>
                <w:sz w:val="24"/>
                <w:b/>
              </w:rPr>
              <w:t>1）投标人应按本表格式进行分项报价，且本表只能放在投标文件的报价部分，资格及资信证明部分、技术商务部分不得出现报价信息。</w:t>
            </w:r>
          </w:p>
          <w:p>
            <w:pPr>
              <w:pStyle w:val="null3"/>
              <w:ind w:firstLine="380"/>
              <w:jc w:val="left"/>
            </w:pP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投标人所报设备单价不得超过</w:t>
            </w:r>
            <w:r>
              <w:rPr>
                <w:rFonts w:ascii="仿宋_GB2312" w:hAnsi="仿宋_GB2312" w:cs="仿宋_GB2312" w:eastAsia="仿宋_GB2312"/>
                <w:sz w:val="24"/>
                <w:b/>
              </w:rPr>
              <w:t>400万元/套，否则投标无效。</w:t>
            </w:r>
          </w:p>
          <w:p>
            <w:pPr>
              <w:pStyle w:val="null3"/>
              <w:ind w:firstLine="380"/>
              <w:jc w:val="left"/>
            </w:pPr>
            <w:r>
              <w:rPr>
                <w:rFonts w:ascii="仿宋_GB2312" w:hAnsi="仿宋_GB2312" w:cs="仿宋_GB2312" w:eastAsia="仿宋_GB2312"/>
                <w:sz w:val="24"/>
                <w:b/>
              </w:rPr>
              <w:t>（</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本采购包要求投标人对所有医院使用同一品牌型号设备进行报价，同一采购包投标人所投产品的各配置单价必须一致，否则投标无效。</w:t>
            </w:r>
          </w:p>
        </w:tc>
      </w:tr>
    </w:tbl>
    <w:p>
      <w:pPr>
        <w:pStyle w:val="null3"/>
        <w:jc w:val="left"/>
      </w:pPr>
      <w:r>
        <w:rPr>
          <w:rFonts w:ascii="仿宋_GB2312" w:hAnsi="仿宋_GB2312" w:cs="仿宋_GB2312" w:eastAsia="仿宋_GB2312"/>
          <w:sz w:val="24"/>
          <w:b/>
        </w:rPr>
        <w:t>采购包</w:t>
      </w:r>
      <w:r>
        <w:rPr>
          <w:rFonts w:ascii="仿宋_GB2312" w:hAnsi="仿宋_GB2312" w:cs="仿宋_GB2312" w:eastAsia="仿宋_GB2312"/>
          <w:sz w:val="24"/>
          <w:b/>
        </w:rPr>
        <w:t>2：</w:t>
      </w:r>
      <w:r>
        <w:rPr>
          <w:rFonts w:ascii="仿宋_GB2312" w:hAnsi="仿宋_GB2312" w:cs="仿宋_GB2312" w:eastAsia="仿宋_GB2312"/>
          <w:sz w:val="24"/>
          <w:b/>
        </w:rPr>
        <w:t>厦门大学</w:t>
      </w:r>
      <w:r>
        <w:rPr>
          <w:rFonts w:ascii="仿宋_GB2312" w:hAnsi="仿宋_GB2312" w:cs="仿宋_GB2312" w:eastAsia="仿宋_GB2312"/>
          <w:sz w:val="24"/>
          <w:b/>
        </w:rPr>
        <w:t>附属</w:t>
      </w:r>
      <w:r>
        <w:rPr>
          <w:rFonts w:ascii="仿宋_GB2312" w:hAnsi="仿宋_GB2312" w:cs="仿宋_GB2312" w:eastAsia="仿宋_GB2312"/>
          <w:sz w:val="24"/>
          <w:b/>
        </w:rPr>
        <w:t>第一医院</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685"/>
        <w:gridCol w:w="2575"/>
        <w:gridCol w:w="1310"/>
        <w:gridCol w:w="1325"/>
        <w:gridCol w:w="1265"/>
        <w:gridCol w:w="1146"/>
      </w:tblGrid>
      <w:tr>
        <w:tc>
          <w:tcPr>
            <w:tcW w:type="dxa" w:w="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序号</w:t>
            </w:r>
          </w:p>
        </w:tc>
        <w:tc>
          <w:tcPr>
            <w:tcW w:type="dxa" w:w="2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配置清单</w:t>
            </w:r>
          </w:p>
        </w:tc>
        <w:tc>
          <w:tcPr>
            <w:tcW w:type="dxa" w:w="13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数量</w:t>
            </w:r>
          </w:p>
        </w:tc>
        <w:tc>
          <w:tcPr>
            <w:tcW w:type="dxa" w:w="13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单位</w:t>
            </w:r>
          </w:p>
        </w:tc>
        <w:tc>
          <w:tcPr>
            <w:tcW w:type="dxa" w:w="1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投标报价</w:t>
            </w:r>
          </w:p>
          <w:p>
            <w:pPr>
              <w:pStyle w:val="null3"/>
              <w:ind w:firstLine="380"/>
              <w:jc w:val="center"/>
            </w:pPr>
            <w:r>
              <w:rPr>
                <w:rFonts w:ascii="仿宋_GB2312" w:hAnsi="仿宋_GB2312" w:cs="仿宋_GB2312" w:eastAsia="仿宋_GB2312"/>
                <w:sz w:val="24"/>
                <w:b/>
                <w:color w:val="000000"/>
              </w:rPr>
              <w:t>（万元）</w:t>
            </w:r>
          </w:p>
        </w:tc>
        <w:tc>
          <w:tcPr>
            <w:tcW w:type="dxa" w:w="1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小计</w:t>
            </w:r>
          </w:p>
          <w:p>
            <w:pPr>
              <w:pStyle w:val="null3"/>
              <w:ind w:firstLine="380"/>
              <w:jc w:val="center"/>
            </w:pPr>
            <w:r>
              <w:rPr>
                <w:rFonts w:ascii="仿宋_GB2312" w:hAnsi="仿宋_GB2312" w:cs="仿宋_GB2312" w:eastAsia="仿宋_GB2312"/>
                <w:sz w:val="24"/>
                <w:b/>
                <w:color w:val="000000"/>
              </w:rPr>
              <w:t>（万元）</w:t>
            </w: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2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自助发药机</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直发</w:t>
            </w:r>
            <w:r>
              <w:rPr>
                <w:rFonts w:ascii="仿宋_GB2312" w:hAnsi="仿宋_GB2312" w:cs="仿宋_GB2312" w:eastAsia="仿宋_GB2312"/>
                <w:sz w:val="24"/>
              </w:rPr>
              <w:t>传输系统</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嵌入高发机</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自动发筐机</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电子药筐</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500</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个</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调配机</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拆零机</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麻精药品管理机</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57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门诊药房中央管理系统</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57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追溯码智能采集系统</w:t>
            </w:r>
          </w:p>
        </w:tc>
        <w:tc>
          <w:tcPr>
            <w:tcW w:type="dxa" w:w="1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前台发药电子显示器</w:t>
            </w:r>
          </w:p>
        </w:tc>
        <w:tc>
          <w:tcPr>
            <w:tcW w:type="dxa" w:w="13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4</w:t>
            </w:r>
          </w:p>
        </w:tc>
        <w:tc>
          <w:tcPr>
            <w:tcW w:type="dxa" w:w="1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19</w:t>
            </w:r>
          </w:p>
        </w:tc>
        <w:tc>
          <w:tcPr>
            <w:tcW w:type="dxa" w:w="2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b/>
                <w:color w:val="000000"/>
              </w:rPr>
              <w:t>合计（万元）</w:t>
            </w:r>
          </w:p>
        </w:tc>
        <w:tc>
          <w:tcPr>
            <w:tcW w:type="dxa" w:w="5046"/>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830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注：（</w:t>
            </w:r>
            <w:r>
              <w:rPr>
                <w:rFonts w:ascii="仿宋_GB2312" w:hAnsi="仿宋_GB2312" w:cs="仿宋_GB2312" w:eastAsia="仿宋_GB2312"/>
                <w:sz w:val="24"/>
                <w:b/>
              </w:rPr>
              <w:t>1）投标人应按本表格式进行分项报价，且本表只能放在投标文件的报价部分，资格及资信证明部分、技术商务部分不得出现报价信息。</w:t>
            </w:r>
          </w:p>
          <w:p>
            <w:pPr>
              <w:pStyle w:val="null3"/>
              <w:ind w:firstLine="380"/>
              <w:jc w:val="both"/>
            </w:pP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投标人所报设备单价不得超过</w:t>
            </w:r>
            <w:r>
              <w:rPr>
                <w:rFonts w:ascii="仿宋_GB2312" w:hAnsi="仿宋_GB2312" w:cs="仿宋_GB2312" w:eastAsia="仿宋_GB2312"/>
                <w:sz w:val="24"/>
                <w:b/>
              </w:rPr>
              <w:t>400万元/套，否则投标无效。</w:t>
            </w:r>
          </w:p>
          <w:p>
            <w:pPr>
              <w:pStyle w:val="null3"/>
              <w:ind w:firstLine="380"/>
              <w:jc w:val="both"/>
            </w:pPr>
            <w:r>
              <w:rPr>
                <w:rFonts w:ascii="仿宋_GB2312" w:hAnsi="仿宋_GB2312" w:cs="仿宋_GB2312" w:eastAsia="仿宋_GB2312"/>
                <w:sz w:val="24"/>
                <w:b/>
              </w:rPr>
              <w:t>（</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本采购包要求投标人对所有医院使用同一品牌型号设备进行报价，同一采购包投标人所投产品的各配置单价必须一致，否则投标无效。</w:t>
            </w:r>
          </w:p>
        </w:tc>
      </w:tr>
    </w:tbl>
    <w:p>
      <w:pPr>
        <w:pStyle w:val="null3"/>
        <w:ind w:firstLine="480"/>
        <w:jc w:val="left"/>
      </w:pPr>
      <w:r>
        <w:rPr>
          <w:rFonts w:ascii="仿宋_GB2312" w:hAnsi="仿宋_GB2312" w:cs="仿宋_GB2312" w:eastAsia="仿宋_GB2312"/>
          <w:sz w:val="24"/>
        </w:rPr>
        <w:t>11.</w:t>
      </w:r>
      <w:r>
        <w:rPr>
          <w:rFonts w:ascii="仿宋_GB2312" w:hAnsi="仿宋_GB2312" w:cs="仿宋_GB2312" w:eastAsia="仿宋_GB2312"/>
          <w:sz w:val="24"/>
        </w:rPr>
        <w:t>9</w:t>
      </w:r>
      <w:r>
        <w:rPr>
          <w:rFonts w:ascii="仿宋_GB2312" w:hAnsi="仿宋_GB2312" w:cs="仿宋_GB2312" w:eastAsia="仿宋_GB2312"/>
          <w:sz w:val="24"/>
        </w:rPr>
        <w:t>本次招标投标人若对2个采购包中的设备使用同一品牌同一型号投标，所报设备单价必须保持一致，否则投标无效。</w:t>
      </w:r>
    </w:p>
    <w:p>
      <w:pPr>
        <w:pStyle w:val="null3"/>
        <w:ind w:firstLine="482"/>
        <w:jc w:val="both"/>
      </w:pPr>
      <w:r>
        <w:rPr>
          <w:rFonts w:ascii="仿宋_GB2312" w:hAnsi="仿宋_GB2312" w:cs="仿宋_GB2312" w:eastAsia="仿宋_GB2312"/>
          <w:sz w:val="24"/>
        </w:rPr>
        <w:t>11.10</w:t>
      </w:r>
      <w:r>
        <w:rPr>
          <w:rFonts w:ascii="仿宋_GB2312" w:hAnsi="仿宋_GB2312" w:cs="仿宋_GB2312" w:eastAsia="仿宋_GB2312"/>
          <w:sz w:val="24"/>
        </w:rPr>
        <w:t>因系统不支持分项报价，投标人应根据本项目实际情况编辑投标分项报价表（格式详见第五章</w:t>
      </w:r>
      <w:r>
        <w:rPr>
          <w:rFonts w:ascii="仿宋_GB2312" w:hAnsi="仿宋_GB2312" w:cs="仿宋_GB2312" w:eastAsia="仿宋_GB2312"/>
          <w:sz w:val="24"/>
        </w:rPr>
        <w:t>“11.</w:t>
      </w:r>
      <w:r>
        <w:rPr>
          <w:rFonts w:ascii="仿宋_GB2312" w:hAnsi="仿宋_GB2312" w:cs="仿宋_GB2312" w:eastAsia="仿宋_GB2312"/>
          <w:sz w:val="24"/>
        </w:rPr>
        <w:t>8</w:t>
      </w:r>
      <w:r>
        <w:rPr>
          <w:rFonts w:ascii="仿宋_GB2312" w:hAnsi="仿宋_GB2312" w:cs="仿宋_GB2312" w:eastAsia="仿宋_GB2312"/>
          <w:sz w:val="24"/>
        </w:rPr>
        <w:t>投标分项报价表格式</w:t>
      </w:r>
      <w:r>
        <w:rPr>
          <w:rFonts w:ascii="仿宋_GB2312" w:hAnsi="仿宋_GB2312" w:cs="仿宋_GB2312" w:eastAsia="仿宋_GB2312"/>
          <w:sz w:val="24"/>
        </w:rPr>
        <w:t>”），在客户端系统中的“价格扣除---节能、环境标志产品”模块上传完整的投标分项报价表，未按要求提交完整的投标分项报价表，由此产生的不利后果由投标人自行承担。</w:t>
      </w:r>
    </w:p>
    <w:p>
      <w:pPr>
        <w:pStyle w:val="null3"/>
        <w:ind w:firstLine="480"/>
        <w:jc w:val="left"/>
      </w:pPr>
      <w:r>
        <w:rPr>
          <w:rFonts w:ascii="仿宋_GB2312" w:hAnsi="仿宋_GB2312" w:cs="仿宋_GB2312" w:eastAsia="仿宋_GB2312"/>
          <w:sz w:val="24"/>
          <w:b/>
        </w:rPr>
        <w:t>12、商务条件响应要求</w:t>
      </w:r>
    </w:p>
    <w:p>
      <w:pPr>
        <w:pStyle w:val="null3"/>
        <w:ind w:firstLine="480"/>
        <w:jc w:val="left"/>
      </w:pPr>
      <w:r>
        <w:rPr>
          <w:rFonts w:ascii="仿宋_GB2312" w:hAnsi="仿宋_GB2312" w:cs="仿宋_GB2312" w:eastAsia="仿宋_GB2312"/>
          <w:sz w:val="24"/>
        </w:rPr>
        <w:t>12.1投标人应根据商务条件要求及商务项评分条款提供相应的交付时间、培训方案、售后服务、年维保费、有利于</w:t>
      </w:r>
      <w:r>
        <w:rPr>
          <w:rFonts w:ascii="仿宋_GB2312" w:hAnsi="仿宋_GB2312" w:cs="仿宋_GB2312" w:eastAsia="仿宋_GB2312"/>
          <w:sz w:val="24"/>
        </w:rPr>
        <w:t>分签单位</w:t>
      </w:r>
      <w:r>
        <w:rPr>
          <w:rFonts w:ascii="仿宋_GB2312" w:hAnsi="仿宋_GB2312" w:cs="仿宋_GB2312" w:eastAsia="仿宋_GB2312"/>
          <w:sz w:val="24"/>
        </w:rPr>
        <w:t>的条款、业绩经验，并按要求提供相应的佐证材料，未按要求提供的将可能导致不得分。</w:t>
      </w:r>
    </w:p>
    <w:p>
      <w:pPr>
        <w:pStyle w:val="null3"/>
        <w:ind w:firstLine="480"/>
        <w:jc w:val="left"/>
      </w:pPr>
      <w:r>
        <w:rPr>
          <w:rFonts w:ascii="仿宋_GB2312" w:hAnsi="仿宋_GB2312" w:cs="仿宋_GB2312" w:eastAsia="仿宋_GB2312"/>
          <w:sz w:val="24"/>
        </w:rPr>
        <w:t>12.2投标人需承诺：若本市范围内的市属公立医疗卫生机构需跟单采购本项目的中标设备，中标人需同意按不高于本项目的中标单价进行供货。投标人需对此做出书面承诺。</w:t>
      </w:r>
    </w:p>
    <w:p>
      <w:pPr>
        <w:pStyle w:val="null3"/>
        <w:ind w:firstLine="482"/>
        <w:jc w:val="left"/>
      </w:pPr>
      <w:r>
        <w:rPr>
          <w:rFonts w:ascii="仿宋_GB2312" w:hAnsi="仿宋_GB2312" w:cs="仿宋_GB2312" w:eastAsia="仿宋_GB2312"/>
          <w:sz w:val="24"/>
          <w:b/>
        </w:rPr>
        <w:t>13、违约责任</w:t>
      </w:r>
    </w:p>
    <w:p>
      <w:pPr>
        <w:pStyle w:val="null3"/>
        <w:ind w:firstLine="480"/>
        <w:jc w:val="left"/>
      </w:pPr>
      <w:r>
        <w:rPr>
          <w:rFonts w:ascii="仿宋_GB2312" w:hAnsi="仿宋_GB2312" w:cs="仿宋_GB2312" w:eastAsia="仿宋_GB2312"/>
          <w:sz w:val="24"/>
        </w:rPr>
        <w:t>13.1中标人未能按投标承诺的交付期如期交付的，每逾期1个日历日，需向分签单位支付合同金额2‰的违约金，延误超过15天的分签单位有权终止合同。</w:t>
      </w:r>
    </w:p>
    <w:p>
      <w:pPr>
        <w:pStyle w:val="null3"/>
        <w:ind w:firstLine="480"/>
        <w:jc w:val="left"/>
      </w:pPr>
      <w:r>
        <w:rPr>
          <w:rFonts w:ascii="仿宋_GB2312" w:hAnsi="仿宋_GB2312" w:cs="仿宋_GB2312" w:eastAsia="仿宋_GB2312"/>
          <w:sz w:val="24"/>
        </w:rPr>
        <w:t>13.2在整个验收过程中，如分签单位发现问题的，中标人应按分签单位要求及时进行整改。中标人若不按分签单位要求整改或经整改一次后仍不合格的，则分签单位有权终止合同。</w:t>
      </w:r>
    </w:p>
    <w:p>
      <w:pPr>
        <w:pStyle w:val="null3"/>
        <w:ind w:firstLine="480"/>
        <w:jc w:val="left"/>
      </w:pPr>
      <w:r>
        <w:rPr>
          <w:rFonts w:ascii="仿宋_GB2312" w:hAnsi="仿宋_GB2312" w:cs="仿宋_GB2312" w:eastAsia="仿宋_GB2312"/>
          <w:sz w:val="24"/>
        </w:rPr>
        <w:t>13.3在验收过程中，若发现中标人存在虚假应标情形的，分签单位有权终止合同，并要求中标人支付合同金额50%的违约金。同时分签单位将虚假情况上报财政部门处理，追究中标人的相应法律责任。</w:t>
      </w:r>
    </w:p>
    <w:p>
      <w:pPr>
        <w:pStyle w:val="null3"/>
        <w:jc w:val="left"/>
      </w:pPr>
      <w:r>
        <w:rPr>
          <w:rFonts w:ascii="仿宋_GB2312" w:hAnsi="仿宋_GB2312" w:cs="仿宋_GB2312" w:eastAsia="仿宋_GB2312"/>
          <w:sz w:val="32"/>
          <w:b/>
        </w:rPr>
        <w:t>补充条款：</w:t>
      </w:r>
    </w:p>
    <w:p>
      <w:pPr>
        <w:pStyle w:val="null3"/>
        <w:jc w:val="left"/>
      </w:pPr>
      <w:r>
        <w:rPr>
          <w:rFonts w:ascii="仿宋_GB2312" w:hAnsi="仿宋_GB2312" w:cs="仿宋_GB2312" w:eastAsia="仿宋_GB2312"/>
          <w:sz w:val="32"/>
          <w:b/>
        </w:rPr>
        <w:t>说明：本补充条款为招标文件组成部分，补充条款内容与招标文件其他地方内容不一致的，以本补充条款内容为准。请投标人仔细阅读。</w:t>
      </w:r>
    </w:p>
    <w:p>
      <w:pPr>
        <w:pStyle w:val="null3"/>
        <w:jc w:val="left"/>
      </w:pPr>
      <w:r>
        <w:rPr>
          <w:rFonts w:ascii="仿宋_GB2312" w:hAnsi="仿宋_GB2312" w:cs="仿宋_GB2312" w:eastAsia="仿宋_GB2312"/>
          <w:sz w:val="32"/>
          <w:b/>
        </w:rPr>
        <w:t>一</w:t>
      </w:r>
      <w:r>
        <w:rPr>
          <w:rFonts w:ascii="仿宋_GB2312" w:hAnsi="仿宋_GB2312" w:cs="仿宋_GB2312" w:eastAsia="仿宋_GB2312"/>
          <w:sz w:val="32"/>
          <w:b/>
        </w:rPr>
        <w:t>、对《第七章</w:t>
      </w:r>
      <w:r>
        <w:rPr>
          <w:rFonts w:ascii="仿宋_GB2312" w:hAnsi="仿宋_GB2312" w:cs="仿宋_GB2312" w:eastAsia="仿宋_GB2312"/>
          <w:sz w:val="32"/>
          <w:b/>
        </w:rPr>
        <w:t xml:space="preserve">  </w:t>
      </w:r>
      <w:r>
        <w:rPr>
          <w:rFonts w:ascii="仿宋_GB2312" w:hAnsi="仿宋_GB2312" w:cs="仿宋_GB2312" w:eastAsia="仿宋_GB2312"/>
          <w:sz w:val="32"/>
          <w:b/>
        </w:rPr>
        <w:t>电子投标文件格式》的内容补充如下：</w:t>
      </w:r>
    </w:p>
    <w:p>
      <w:pPr>
        <w:pStyle w:val="null3"/>
        <w:ind w:firstLine="480"/>
        <w:jc w:val="both"/>
      </w:pPr>
      <w:r>
        <w:rPr>
          <w:rFonts w:ascii="仿宋_GB2312" w:hAnsi="仿宋_GB2312" w:cs="仿宋_GB2312" w:eastAsia="仿宋_GB2312"/>
          <w:sz w:val="32"/>
          <w:b/>
        </w:rPr>
        <w:t>（一）</w:t>
      </w:r>
      <w:r>
        <w:rPr>
          <w:rFonts w:ascii="仿宋_GB2312" w:hAnsi="仿宋_GB2312" w:cs="仿宋_GB2312" w:eastAsia="仿宋_GB2312"/>
          <w:sz w:val="24"/>
          <w:b/>
        </w:rPr>
        <w:t>三</w:t>
      </w:r>
      <w:r>
        <w:rPr>
          <w:rFonts w:ascii="仿宋_GB2312" w:hAnsi="仿宋_GB2312" w:cs="仿宋_GB2312" w:eastAsia="仿宋_GB2312"/>
          <w:sz w:val="24"/>
          <w:b/>
        </w:rPr>
        <w:t>-1-①优先类节能产品、环境标志产品统计表（价格扣除适用，若有）</w:t>
      </w:r>
    </w:p>
    <w:tbl>
      <w:tblPr>
        <w:tblW w:w="0" w:type="auto"/>
        <w:tblBorders>
          <w:top w:val="none" w:color="000000" w:sz="4"/>
          <w:left w:val="none" w:color="000000" w:sz="4"/>
          <w:bottom w:val="none" w:color="000000" w:sz="4"/>
          <w:right w:val="none" w:color="000000" w:sz="4"/>
          <w:insideH w:val="none"/>
          <w:insideV w:val="none"/>
        </w:tblBorders>
      </w:tblPr>
      <w:tblGrid>
        <w:gridCol w:w="1204"/>
        <w:gridCol w:w="1896"/>
        <w:gridCol w:w="1911"/>
        <w:gridCol w:w="1098"/>
        <w:gridCol w:w="1098"/>
        <w:gridCol w:w="1098"/>
      </w:tblGrid>
      <w:tr>
        <w:tc>
          <w:tcPr>
            <w:tcW w:type="dxa" w:w="1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7101"/>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本采购包内属于节能、环境标志产品情况</w:t>
            </w:r>
          </w:p>
        </w:tc>
      </w:tr>
      <w:tr>
        <w:tc>
          <w:tcPr>
            <w:tcW w:type="dxa" w:w="1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采购包</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产品名称</w:t>
            </w:r>
          </w:p>
        </w:tc>
        <w:tc>
          <w:tcPr>
            <w:tcW w:type="dxa" w:w="19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认证种类</w:t>
            </w:r>
          </w:p>
        </w:tc>
        <w:tc>
          <w:tcPr>
            <w:tcW w:type="dxa" w:w="10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数量</w:t>
            </w:r>
          </w:p>
        </w:tc>
        <w:tc>
          <w:tcPr>
            <w:tcW w:type="dxa" w:w="10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单价</w:t>
            </w:r>
          </w:p>
        </w:tc>
        <w:tc>
          <w:tcPr>
            <w:tcW w:type="dxa" w:w="10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小计</w:t>
            </w:r>
          </w:p>
        </w:tc>
      </w:tr>
      <w:tr>
        <w:tc>
          <w:tcPr>
            <w:tcW w:type="dxa" w:w="1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w:t>
            </w: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04"/>
            <w:vMerge/>
            <w:tcBorders>
              <w:top w:val="none" w:color="000000" w:sz="4"/>
              <w:left w:val="single" w:color="000000" w:sz="4"/>
              <w:bottom w:val="single" w:color="000000" w:sz="4"/>
              <w:right w:val="single" w:color="000000" w:sz="4"/>
            </w:tcBorders>
          </w:tcP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04"/>
            <w:vMerge/>
            <w:tcBorders>
              <w:top w:val="none" w:color="000000" w:sz="4"/>
              <w:left w:val="single" w:color="000000" w:sz="4"/>
              <w:bottom w:val="single" w:color="000000" w:sz="4"/>
              <w:right w:val="single" w:color="000000" w:sz="4"/>
            </w:tcBorders>
          </w:tcPr>
          <w:p/>
        </w:tc>
        <w:tc>
          <w:tcPr>
            <w:tcW w:type="dxa" w:w="1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04"/>
            <w:vMerge/>
            <w:tcBorders>
              <w:top w:val="none" w:color="000000" w:sz="4"/>
              <w:left w:val="single" w:color="000000" w:sz="4"/>
              <w:bottom w:val="single" w:color="000000" w:sz="4"/>
              <w:right w:val="single" w:color="000000" w:sz="4"/>
            </w:tcBorders>
          </w:tcPr>
          <w:p/>
        </w:tc>
        <w:tc>
          <w:tcPr>
            <w:tcW w:type="dxa" w:w="600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合计</w:t>
            </w: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bl>
    <w:p>
      <w:pPr>
        <w:pStyle w:val="null3"/>
        <w:jc w:val="both"/>
      </w:pPr>
      <w:r>
        <w:rPr>
          <w:rFonts w:ascii="仿宋_GB2312" w:hAnsi="仿宋_GB2312" w:cs="仿宋_GB2312" w:eastAsia="仿宋_GB2312"/>
          <w:sz w:val="24"/>
          <w:b/>
        </w:rPr>
        <w:t>（二）《技术商务部分》的格式补充如下：</w:t>
      </w:r>
    </w:p>
    <w:p>
      <w:pPr>
        <w:pStyle w:val="null3"/>
        <w:ind w:firstLine="480"/>
        <w:jc w:val="center"/>
      </w:pPr>
      <w:r>
        <w:rPr>
          <w:rFonts w:ascii="仿宋_GB2312" w:hAnsi="仿宋_GB2312" w:cs="仿宋_GB2312" w:eastAsia="仿宋_GB2312"/>
          <w:sz w:val="24"/>
          <w:b/>
        </w:rPr>
        <w:t>四、投标人提交的其他资料</w:t>
      </w:r>
    </w:p>
    <w:p>
      <w:pPr>
        <w:pStyle w:val="null3"/>
        <w:ind w:firstLine="480"/>
        <w:jc w:val="center"/>
      </w:pPr>
      <w:r>
        <w:rPr>
          <w:rFonts w:ascii="仿宋_GB2312" w:hAnsi="仿宋_GB2312" w:cs="仿宋_GB2312" w:eastAsia="仿宋_GB2312"/>
          <w:sz w:val="24"/>
          <w:b/>
        </w:rPr>
        <w:t>（一）带</w:t>
      </w:r>
      <w:r>
        <w:rPr>
          <w:rFonts w:ascii="仿宋_GB2312" w:hAnsi="仿宋_GB2312" w:cs="仿宋_GB2312" w:eastAsia="仿宋_GB2312"/>
          <w:sz w:val="24"/>
          <w:b/>
        </w:rPr>
        <w:t>“★”号条款逐条响应情况表</w:t>
      </w:r>
    </w:p>
    <w:p>
      <w:pPr>
        <w:pStyle w:val="null3"/>
        <w:ind w:firstLine="480"/>
        <w:jc w:val="both"/>
      </w:pPr>
      <w:r>
        <w:rPr>
          <w:rFonts w:ascii="仿宋_GB2312" w:hAnsi="仿宋_GB2312" w:cs="仿宋_GB2312" w:eastAsia="仿宋_GB2312"/>
          <w:sz w:val="24"/>
        </w:rPr>
        <w:t>项目名称：</w:t>
      </w:r>
      <w:r>
        <w:rPr>
          <w:rFonts w:ascii="仿宋_GB2312" w:hAnsi="仿宋_GB2312" w:cs="仿宋_GB2312" w:eastAsia="仿宋_GB2312"/>
          <w:u w:val="single"/>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招标编号：</w:t>
      </w:r>
      <w:r>
        <w:rPr>
          <w:rFonts w:ascii="仿宋_GB2312" w:hAnsi="仿宋_GB2312" w:cs="仿宋_GB2312" w:eastAsia="仿宋_GB2312"/>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903"/>
        <w:gridCol w:w="3175"/>
        <w:gridCol w:w="1730"/>
        <w:gridCol w:w="2498"/>
      </w:tblGrid>
      <w:tr>
        <w:tc>
          <w:tcPr>
            <w:tcW w:type="dxa" w:w="9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条款号</w:t>
            </w:r>
          </w:p>
        </w:tc>
        <w:tc>
          <w:tcPr>
            <w:tcW w:type="dxa" w:w="3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招标文件中带</w:t>
            </w:r>
            <w:r>
              <w:rPr>
                <w:rFonts w:ascii="仿宋_GB2312" w:hAnsi="仿宋_GB2312" w:cs="仿宋_GB2312" w:eastAsia="仿宋_GB2312"/>
                <w:sz w:val="24"/>
              </w:rPr>
              <w:t>“★”号的条款</w:t>
            </w:r>
          </w:p>
        </w:tc>
        <w:tc>
          <w:tcPr>
            <w:tcW w:type="dxa" w:w="17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投标响应内容</w:t>
            </w:r>
          </w:p>
        </w:tc>
        <w:tc>
          <w:tcPr>
            <w:tcW w:type="dxa" w:w="24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对应投标文件页码</w:t>
            </w:r>
          </w:p>
        </w:tc>
      </w:tr>
      <w:tr>
        <w:tc>
          <w:tcPr>
            <w:tcW w:type="dxa" w:w="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3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4"/>
          <w:b/>
        </w:rPr>
        <w:t>以上</w:t>
      </w:r>
      <w:r>
        <w:rPr>
          <w:rFonts w:ascii="仿宋_GB2312" w:hAnsi="仿宋_GB2312" w:cs="仿宋_GB2312" w:eastAsia="仿宋_GB2312"/>
          <w:sz w:val="24"/>
          <w:b/>
        </w:rPr>
        <w:t>★号条款为招标文件中的所有★号条款，无论是技术指标或文字描述要求，投标人必须逐条如实地书面响应。</w:t>
      </w:r>
    </w:p>
    <w:p>
      <w:pPr>
        <w:pStyle w:val="null3"/>
        <w:ind w:firstLine="482"/>
        <w:jc w:val="left"/>
      </w:pPr>
      <w:r>
        <w:rPr>
          <w:rFonts w:ascii="仿宋_GB2312" w:hAnsi="仿宋_GB2312" w:cs="仿宋_GB2312" w:eastAsia="仿宋_GB2312"/>
          <w:sz w:val="24"/>
        </w:rPr>
        <w:t>投标人全称（加盖公章）：</w:t>
      </w:r>
      <w:r>
        <w:rPr>
          <w:rFonts w:ascii="仿宋_GB2312" w:hAnsi="仿宋_GB2312" w:cs="仿宋_GB2312" w:eastAsia="仿宋_GB2312"/>
          <w:u w:val="single"/>
        </w:rPr>
        <w:t xml:space="preserve">           </w:t>
      </w:r>
    </w:p>
    <w:p>
      <w:pPr>
        <w:pStyle w:val="null3"/>
        <w:ind w:firstLine="4200"/>
        <w:jc w:val="both"/>
      </w:pPr>
      <w:r>
        <w:rPr>
          <w:rFonts w:ascii="仿宋_GB2312" w:hAnsi="仿宋_GB2312" w:cs="仿宋_GB2312" w:eastAsia="仿宋_GB2312"/>
          <w:sz w:val="24"/>
        </w:rPr>
        <w:t>日</w:t>
      </w:r>
      <w:r>
        <w:rPr>
          <w:rFonts w:ascii="仿宋_GB2312" w:hAnsi="仿宋_GB2312" w:cs="仿宋_GB2312" w:eastAsia="仿宋_GB2312"/>
          <w:sz w:val="24"/>
        </w:rPr>
        <w:t xml:space="preserve">   </w:t>
      </w:r>
      <w:r>
        <w:rPr>
          <w:rFonts w:ascii="仿宋_GB2312" w:hAnsi="仿宋_GB2312" w:cs="仿宋_GB2312" w:eastAsia="仿宋_GB2312"/>
          <w:sz w:val="24"/>
        </w:rPr>
        <w:t>期：</w:t>
      </w:r>
      <w:r>
        <w:rPr>
          <w:rFonts w:ascii="仿宋_GB2312" w:hAnsi="仿宋_GB2312" w:cs="仿宋_GB2312" w:eastAsia="仿宋_GB2312"/>
          <w:u w:val="single"/>
        </w:rPr>
        <w:t xml:space="preserve">                        </w:t>
      </w:r>
    </w:p>
    <w:p>
      <w:pPr>
        <w:pStyle w:val="null3"/>
        <w:ind w:firstLine="480"/>
        <w:jc w:val="center"/>
      </w:pPr>
      <w:r>
        <w:rPr>
          <w:rFonts w:ascii="仿宋_GB2312" w:hAnsi="仿宋_GB2312" w:cs="仿宋_GB2312" w:eastAsia="仿宋_GB2312"/>
          <w:sz w:val="24"/>
          <w:b/>
        </w:rPr>
        <w:t>（二）技术商务评分响应索引表</w:t>
      </w:r>
    </w:p>
    <w:tbl>
      <w:tblPr>
        <w:tblW w:w="0" w:type="auto"/>
        <w:tblBorders>
          <w:top w:val="none" w:color="000000" w:sz="4"/>
          <w:left w:val="none" w:color="000000" w:sz="4"/>
          <w:bottom w:val="none" w:color="000000" w:sz="4"/>
          <w:right w:val="none" w:color="000000" w:sz="4"/>
          <w:insideH w:val="none"/>
          <w:insideV w:val="none"/>
        </w:tblBorders>
      </w:tblPr>
      <w:tblGrid>
        <w:gridCol w:w="1053"/>
        <w:gridCol w:w="4424"/>
        <w:gridCol w:w="2829"/>
      </w:tblGrid>
      <w:tr>
        <w:tc>
          <w:tcPr>
            <w:tcW w:type="dxa" w:w="1053"/>
            <w:tcBorders>
              <w:top w:val="doub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序号</w:t>
            </w:r>
          </w:p>
        </w:tc>
        <w:tc>
          <w:tcPr>
            <w:tcW w:type="dxa" w:w="4424"/>
            <w:tcBorders>
              <w:top w:val="doub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评分标准要求</w:t>
            </w:r>
          </w:p>
        </w:tc>
        <w:tc>
          <w:tcPr>
            <w:tcW w:type="dxa" w:w="2829"/>
            <w:tcBorders>
              <w:top w:val="doubl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对应投标文件页码</w:t>
            </w:r>
          </w:p>
        </w:tc>
      </w:tr>
      <w:tr>
        <w:tc>
          <w:tcPr>
            <w:tcW w:type="dxa" w:w="8306"/>
            <w:gridSpan w:val="3"/>
            <w:tcBorders>
              <w:top w:val="none" w:color="000000" w:sz="4"/>
              <w:left w:val="double" w:color="000000" w:sz="4"/>
              <w:bottom w:val="single" w:color="000000" w:sz="4"/>
              <w:right w:val="doub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技术因素评分</w:t>
            </w:r>
          </w:p>
        </w:tc>
      </w:tr>
      <w:tr>
        <w:tc>
          <w:tcPr>
            <w:tcW w:type="dxa" w:w="1053"/>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1-1</w:t>
            </w:r>
          </w:p>
        </w:tc>
        <w:tc>
          <w:tcPr>
            <w:tcW w:type="dxa" w:w="4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2829"/>
            <w:tcBorders>
              <w:top w:val="single" w:color="000000" w:sz="4"/>
              <w:left w:val="none" w:color="000000" w:sz="4"/>
              <w:bottom w:val="single" w:color="000000" w:sz="4"/>
              <w:right w:val="double" w:color="000000" w:sz="4"/>
            </w:tcBorders>
            <w:tcMar>
              <w:top w:type="dxa" w:w="0"/>
              <w:left w:type="dxa" w:w="105"/>
              <w:bottom w:type="dxa" w:w="0"/>
              <w:right w:type="dxa" w:w="105"/>
            </w:tcMar>
            <w:vAlign w:val="top"/>
          </w:tcPr>
          <w:p/>
        </w:tc>
      </w:tr>
      <w:tr>
        <w:tc>
          <w:tcPr>
            <w:tcW w:type="dxa" w:w="1053"/>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282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tc>
      </w:tr>
      <w:tr>
        <w:tc>
          <w:tcPr>
            <w:tcW w:type="dxa" w:w="8306"/>
            <w:gridSpan w:val="3"/>
            <w:tcBorders>
              <w:top w:val="none" w:color="000000" w:sz="4"/>
              <w:left w:val="doub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商务因素评分</w:t>
            </w:r>
          </w:p>
        </w:tc>
      </w:tr>
      <w:tr>
        <w:tc>
          <w:tcPr>
            <w:tcW w:type="dxa" w:w="1053"/>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2-1</w:t>
            </w:r>
          </w:p>
        </w:tc>
        <w:tc>
          <w:tcPr>
            <w:tcW w:type="dxa" w:w="4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2829"/>
            <w:tcBorders>
              <w:top w:val="single" w:color="000000" w:sz="4"/>
              <w:left w:val="none" w:color="000000" w:sz="4"/>
              <w:bottom w:val="single" w:color="000000" w:sz="4"/>
              <w:right w:val="double" w:color="000000" w:sz="4"/>
            </w:tcBorders>
            <w:tcMar>
              <w:top w:type="dxa" w:w="0"/>
              <w:left w:type="dxa" w:w="105"/>
              <w:bottom w:type="dxa" w:w="0"/>
              <w:right w:type="dxa" w:w="105"/>
            </w:tcMar>
            <w:vAlign w:val="top"/>
          </w:tcPr>
          <w:p/>
        </w:tc>
      </w:tr>
      <w:tr>
        <w:tc>
          <w:tcPr>
            <w:tcW w:type="dxa" w:w="1053"/>
            <w:tcBorders>
              <w:top w:val="non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4424"/>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2829"/>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tc>
      </w:tr>
    </w:tbl>
    <w:p>
      <w:pPr>
        <w:pStyle w:val="null3"/>
        <w:jc w:val="center"/>
      </w:pPr>
      <w:r>
        <w:rPr>
          <w:rFonts w:ascii="仿宋_GB2312" w:hAnsi="仿宋_GB2312" w:cs="仿宋_GB2312" w:eastAsia="仿宋_GB2312"/>
          <w:sz w:val="24"/>
        </w:rPr>
        <w:t>关于串标情形及后果的告知函</w:t>
      </w:r>
    </w:p>
    <w:p>
      <w:pPr>
        <w:pStyle w:val="null3"/>
        <w:ind w:firstLine="482"/>
        <w:jc w:val="both"/>
      </w:pPr>
      <w:r>
        <w:rPr>
          <w:rFonts w:ascii="仿宋_GB2312" w:hAnsi="仿宋_GB2312" w:cs="仿宋_GB2312" w:eastAsia="仿宋_GB2312"/>
          <w:sz w:val="24"/>
          <w:b/>
        </w:rPr>
        <w:t>根据《厦门市财政局关于加强涉嫌串通投标情形处理的通知》要求，现将有关串标情形及后果的规定列明如下，请各供应商仔细阅读，在参与本项目采购活动中，要遵纪守法，公平参与竞争，不得从事违法行为，否则将依法承担相应责任：</w:t>
      </w:r>
    </w:p>
    <w:p>
      <w:pPr>
        <w:pStyle w:val="null3"/>
        <w:ind w:firstLine="482"/>
        <w:jc w:val="both"/>
      </w:pPr>
      <w:r>
        <w:rPr>
          <w:rFonts w:ascii="仿宋_GB2312" w:hAnsi="仿宋_GB2312" w:cs="仿宋_GB2312" w:eastAsia="仿宋_GB2312"/>
          <w:sz w:val="24"/>
          <w:b/>
        </w:rPr>
        <w:t>一、串标情形</w:t>
      </w:r>
    </w:p>
    <w:p>
      <w:pPr>
        <w:pStyle w:val="null3"/>
        <w:ind w:firstLine="482"/>
        <w:jc w:val="both"/>
      </w:pPr>
      <w:r>
        <w:rPr>
          <w:rFonts w:ascii="仿宋_GB2312" w:hAnsi="仿宋_GB2312" w:cs="仿宋_GB2312" w:eastAsia="仿宋_GB2312"/>
          <w:sz w:val="24"/>
          <w:b/>
        </w:rPr>
        <w:t>1、《政府采购法》第二十五条</w:t>
      </w:r>
      <w:r>
        <w:rPr>
          <w:rFonts w:ascii="仿宋_GB2312" w:hAnsi="仿宋_GB2312" w:cs="仿宋_GB2312" w:eastAsia="仿宋_GB2312"/>
          <w:sz w:val="24"/>
        </w:rPr>
        <w:t>：政府采购当事人不得相互串通损害国家利益、社会公共利益和其他当事人的合法权益；不得以任何手段排斥其他供应商参与竞争。供应商不得以向采购人、采购代理机构、评标委员会的组成人员、竞争性谈判小组的组成人员、询价小组的组成人员行贿或者采取其他不正当手段谋取中标或者成交。</w:t>
      </w:r>
    </w:p>
    <w:p>
      <w:pPr>
        <w:pStyle w:val="null3"/>
        <w:ind w:firstLine="482"/>
        <w:jc w:val="both"/>
      </w:pPr>
      <w:r>
        <w:rPr>
          <w:rFonts w:ascii="仿宋_GB2312" w:hAnsi="仿宋_GB2312" w:cs="仿宋_GB2312" w:eastAsia="仿宋_GB2312"/>
          <w:sz w:val="24"/>
          <w:b/>
        </w:rPr>
        <w:t>2、《政府采购法实施条例》第七十四条</w:t>
      </w:r>
      <w:r>
        <w:rPr>
          <w:rFonts w:ascii="仿宋_GB2312" w:hAnsi="仿宋_GB2312" w:cs="仿宋_GB2312" w:eastAsia="仿宋_GB2312"/>
          <w:sz w:val="24"/>
        </w:rPr>
        <w:t>：有下列情形之一的，属于恶意串通，对供应商依照政府采购法第七十七条第一款的规定追究法律责任，对采购人、采购代理机构及其工作人员依照政府采购法第七十二条的规定追究法律责任：</w:t>
      </w:r>
    </w:p>
    <w:p>
      <w:pPr>
        <w:pStyle w:val="null3"/>
        <w:ind w:firstLine="480"/>
        <w:jc w:val="both"/>
      </w:pPr>
      <w:r>
        <w:rPr>
          <w:rFonts w:ascii="仿宋_GB2312" w:hAnsi="仿宋_GB2312" w:cs="仿宋_GB2312" w:eastAsia="仿宋_GB2312"/>
          <w:sz w:val="24"/>
        </w:rPr>
        <w:t>（一）供应商直接或者间接从采购人或者采购代理机构处获得其他供应商的相关情况并修改其投标文件或者响应文件；</w:t>
      </w:r>
    </w:p>
    <w:p>
      <w:pPr>
        <w:pStyle w:val="null3"/>
        <w:ind w:firstLine="480"/>
        <w:jc w:val="both"/>
      </w:pPr>
      <w:r>
        <w:rPr>
          <w:rFonts w:ascii="仿宋_GB2312" w:hAnsi="仿宋_GB2312" w:cs="仿宋_GB2312" w:eastAsia="仿宋_GB2312"/>
          <w:sz w:val="24"/>
        </w:rPr>
        <w:t>（二）供应商按照采购人或者采购代理机构的授意撤换、修改投标文件或者响应文件；</w:t>
      </w:r>
    </w:p>
    <w:p>
      <w:pPr>
        <w:pStyle w:val="null3"/>
        <w:ind w:firstLine="480"/>
        <w:jc w:val="both"/>
      </w:pPr>
      <w:r>
        <w:rPr>
          <w:rFonts w:ascii="仿宋_GB2312" w:hAnsi="仿宋_GB2312" w:cs="仿宋_GB2312" w:eastAsia="仿宋_GB2312"/>
          <w:sz w:val="24"/>
        </w:rPr>
        <w:t>（三）供应商之间协商报价、技术方案等投标文件或者响应文件的实质性内容；</w:t>
      </w:r>
    </w:p>
    <w:p>
      <w:pPr>
        <w:pStyle w:val="null3"/>
        <w:ind w:firstLine="480"/>
        <w:jc w:val="both"/>
      </w:pPr>
      <w:r>
        <w:rPr>
          <w:rFonts w:ascii="仿宋_GB2312" w:hAnsi="仿宋_GB2312" w:cs="仿宋_GB2312" w:eastAsia="仿宋_GB2312"/>
          <w:sz w:val="24"/>
        </w:rPr>
        <w:t>（四）属于同一集团、协会、商会等组织成员的供应商按照该组织要求协同参加政府采购活动；</w:t>
      </w:r>
    </w:p>
    <w:p>
      <w:pPr>
        <w:pStyle w:val="null3"/>
        <w:ind w:firstLine="480"/>
        <w:jc w:val="both"/>
      </w:pPr>
      <w:r>
        <w:rPr>
          <w:rFonts w:ascii="仿宋_GB2312" w:hAnsi="仿宋_GB2312" w:cs="仿宋_GB2312" w:eastAsia="仿宋_GB2312"/>
          <w:sz w:val="24"/>
        </w:rPr>
        <w:t>（五）供应商之间事先约定由某一特定供应商中标、成交；</w:t>
      </w:r>
    </w:p>
    <w:p>
      <w:pPr>
        <w:pStyle w:val="null3"/>
        <w:ind w:firstLine="480"/>
        <w:jc w:val="both"/>
      </w:pPr>
      <w:r>
        <w:rPr>
          <w:rFonts w:ascii="仿宋_GB2312" w:hAnsi="仿宋_GB2312" w:cs="仿宋_GB2312" w:eastAsia="仿宋_GB2312"/>
          <w:sz w:val="24"/>
        </w:rPr>
        <w:t>（六）供应商之间商定部分供应商放弃参加政府采购活动或者放弃中标、成交；</w:t>
      </w:r>
    </w:p>
    <w:p>
      <w:pPr>
        <w:pStyle w:val="null3"/>
        <w:ind w:firstLine="480"/>
        <w:jc w:val="both"/>
      </w:pPr>
      <w:r>
        <w:rPr>
          <w:rFonts w:ascii="仿宋_GB2312" w:hAnsi="仿宋_GB2312" w:cs="仿宋_GB2312" w:eastAsia="仿宋_GB2312"/>
          <w:sz w:val="24"/>
        </w:rPr>
        <w:t>（七）供应商与采购人或者采购代理机构之间、供应商相互之间，为谋求特定供应商中标、成交或者排斥其他供应商的其他串通行为。</w:t>
      </w:r>
    </w:p>
    <w:p>
      <w:pPr>
        <w:pStyle w:val="null3"/>
        <w:ind w:firstLine="482"/>
        <w:jc w:val="both"/>
      </w:pPr>
      <w:r>
        <w:rPr>
          <w:rFonts w:ascii="仿宋_GB2312" w:hAnsi="仿宋_GB2312" w:cs="仿宋_GB2312" w:eastAsia="仿宋_GB2312"/>
          <w:sz w:val="24"/>
          <w:b/>
        </w:rPr>
        <w:t>3、《政府采购货物和服务招标投标管理办法》（财政部令第87号）第三十七条</w:t>
      </w:r>
      <w:r>
        <w:rPr>
          <w:rFonts w:ascii="仿宋_GB2312" w:hAnsi="仿宋_GB2312" w:cs="仿宋_GB2312" w:eastAsia="仿宋_GB2312"/>
          <w:sz w:val="24"/>
        </w:rPr>
        <w:t>：有下列情形之一的，视为投标人串通投标，其投标无效：</w:t>
      </w:r>
    </w:p>
    <w:p>
      <w:pPr>
        <w:pStyle w:val="null3"/>
        <w:ind w:firstLine="480"/>
        <w:jc w:val="both"/>
      </w:pPr>
      <w:r>
        <w:rPr>
          <w:rFonts w:ascii="仿宋_GB2312" w:hAnsi="仿宋_GB2312" w:cs="仿宋_GB2312" w:eastAsia="仿宋_GB2312"/>
          <w:sz w:val="24"/>
        </w:rPr>
        <w:t>（一）不同投标人的投标文件由同一单位或者个人编制；</w:t>
      </w:r>
    </w:p>
    <w:p>
      <w:pPr>
        <w:pStyle w:val="null3"/>
        <w:ind w:firstLine="480"/>
        <w:jc w:val="both"/>
      </w:pPr>
      <w:r>
        <w:rPr>
          <w:rFonts w:ascii="仿宋_GB2312" w:hAnsi="仿宋_GB2312" w:cs="仿宋_GB2312" w:eastAsia="仿宋_GB2312"/>
          <w:sz w:val="24"/>
        </w:rPr>
        <w:t>（二）不同投标人委托同一单位或者个人办理投标事宜；</w:t>
      </w:r>
    </w:p>
    <w:p>
      <w:pPr>
        <w:pStyle w:val="null3"/>
        <w:ind w:firstLine="480"/>
        <w:jc w:val="both"/>
      </w:pPr>
      <w:r>
        <w:rPr>
          <w:rFonts w:ascii="仿宋_GB2312" w:hAnsi="仿宋_GB2312" w:cs="仿宋_GB2312" w:eastAsia="仿宋_GB2312"/>
          <w:sz w:val="24"/>
        </w:rPr>
        <w:t>（三）不同投标人的投标文件载明的项目管理成员或者联系人员为同一人；</w:t>
      </w:r>
    </w:p>
    <w:p>
      <w:pPr>
        <w:pStyle w:val="null3"/>
        <w:ind w:firstLine="480"/>
        <w:jc w:val="both"/>
      </w:pPr>
      <w:r>
        <w:rPr>
          <w:rFonts w:ascii="仿宋_GB2312" w:hAnsi="仿宋_GB2312" w:cs="仿宋_GB2312" w:eastAsia="仿宋_GB2312"/>
          <w:sz w:val="24"/>
        </w:rPr>
        <w:t>（四）不同投标人的投标文件异常一致或者投标报价呈规律性差异；</w:t>
      </w:r>
    </w:p>
    <w:p>
      <w:pPr>
        <w:pStyle w:val="null3"/>
        <w:ind w:firstLine="480"/>
        <w:jc w:val="both"/>
      </w:pPr>
      <w:r>
        <w:rPr>
          <w:rFonts w:ascii="仿宋_GB2312" w:hAnsi="仿宋_GB2312" w:cs="仿宋_GB2312" w:eastAsia="仿宋_GB2312"/>
          <w:sz w:val="24"/>
        </w:rPr>
        <w:t>（五）不同投标人的投标文件相互混装；</w:t>
      </w:r>
    </w:p>
    <w:p>
      <w:pPr>
        <w:pStyle w:val="null3"/>
        <w:ind w:firstLine="480"/>
        <w:jc w:val="both"/>
      </w:pPr>
      <w:r>
        <w:rPr>
          <w:rFonts w:ascii="仿宋_GB2312" w:hAnsi="仿宋_GB2312" w:cs="仿宋_GB2312" w:eastAsia="仿宋_GB2312"/>
          <w:sz w:val="24"/>
        </w:rPr>
        <w:t>（六）不同投标人的投标保证金从同一单位或者个人的账户转出。</w:t>
      </w:r>
    </w:p>
    <w:p>
      <w:pPr>
        <w:pStyle w:val="null3"/>
        <w:ind w:firstLine="482"/>
        <w:jc w:val="both"/>
      </w:pPr>
      <w:r>
        <w:rPr>
          <w:rFonts w:ascii="仿宋_GB2312" w:hAnsi="仿宋_GB2312" w:cs="仿宋_GB2312" w:eastAsia="仿宋_GB2312"/>
          <w:sz w:val="24"/>
          <w:b/>
        </w:rPr>
        <w:t>4、《福建省财政厅关于电子化政府采购项目中视为串标情形认定与处理的指导意见》（闽财购〔2018〕30号）</w:t>
      </w:r>
    </w:p>
    <w:p>
      <w:pPr>
        <w:pStyle w:val="null3"/>
        <w:ind w:firstLine="480"/>
        <w:jc w:val="both"/>
      </w:pPr>
      <w:r>
        <w:rPr>
          <w:rFonts w:ascii="仿宋_GB2312" w:hAnsi="仿宋_GB2312" w:cs="仿宋_GB2312" w:eastAsia="仿宋_GB2312"/>
          <w:sz w:val="24"/>
        </w:rPr>
        <w:t>一、电子化招标项目视为串通情形的认定</w:t>
      </w:r>
    </w:p>
    <w:p>
      <w:pPr>
        <w:pStyle w:val="null3"/>
        <w:ind w:firstLine="480"/>
        <w:jc w:val="both"/>
      </w:pPr>
      <w:r>
        <w:rPr>
          <w:rFonts w:ascii="仿宋_GB2312" w:hAnsi="仿宋_GB2312" w:cs="仿宋_GB2312" w:eastAsia="仿宋_GB2312"/>
          <w:sz w:val="24"/>
        </w:rPr>
        <w:t>（一）保证金验核阶段</w:t>
      </w:r>
    </w:p>
    <w:p>
      <w:pPr>
        <w:pStyle w:val="null3"/>
        <w:ind w:firstLine="480"/>
        <w:jc w:val="both"/>
      </w:pPr>
      <w:r>
        <w:rPr>
          <w:rFonts w:ascii="仿宋_GB2312" w:hAnsi="仿宋_GB2312" w:cs="仿宋_GB2312" w:eastAsia="仿宋_GB2312"/>
          <w:sz w:val="24"/>
        </w:rPr>
        <w:t>不同投标人的投标保证金转出账户的银行账户名称相同的，属于《政府采购货物和服务招标投标管理办法》（财政部令第</w:t>
      </w:r>
      <w:r>
        <w:rPr>
          <w:rFonts w:ascii="仿宋_GB2312" w:hAnsi="仿宋_GB2312" w:cs="仿宋_GB2312" w:eastAsia="仿宋_GB2312"/>
          <w:sz w:val="24"/>
        </w:rPr>
        <w:t>87号）第三十七条第（六）项“不同投标人的投标保证金从同一单位或者个人的账户转出”的情形。</w:t>
      </w:r>
    </w:p>
    <w:p>
      <w:pPr>
        <w:pStyle w:val="null3"/>
        <w:ind w:firstLine="480"/>
        <w:jc w:val="both"/>
      </w:pPr>
      <w:r>
        <w:rPr>
          <w:rFonts w:ascii="仿宋_GB2312" w:hAnsi="仿宋_GB2312" w:cs="仿宋_GB2312" w:eastAsia="仿宋_GB2312"/>
          <w:sz w:val="24"/>
        </w:rPr>
        <w:t>（二）电子响应文件解密阶段</w:t>
      </w:r>
    </w:p>
    <w:p>
      <w:pPr>
        <w:pStyle w:val="null3"/>
        <w:ind w:firstLine="480"/>
        <w:jc w:val="both"/>
      </w:pPr>
      <w:r>
        <w:rPr>
          <w:rFonts w:ascii="仿宋_GB2312" w:hAnsi="仿宋_GB2312" w:cs="仿宋_GB2312" w:eastAsia="仿宋_GB2312"/>
          <w:sz w:val="24"/>
        </w:rPr>
        <w:t>电子响应文件的个性特征与本采购项目的其他响应人存在雷同的，按照以下方式进行认定：</w:t>
      </w:r>
    </w:p>
    <w:p>
      <w:pPr>
        <w:pStyle w:val="null3"/>
        <w:ind w:firstLine="480"/>
        <w:jc w:val="both"/>
      </w:pPr>
      <w:r>
        <w:rPr>
          <w:rFonts w:ascii="仿宋_GB2312" w:hAnsi="仿宋_GB2312" w:cs="仿宋_GB2312" w:eastAsia="仿宋_GB2312"/>
          <w:sz w:val="24"/>
        </w:rPr>
        <w:t>1.投标人上传电子投标文件被福建省政府采购网上公开信息系统投标客户端所赋予的项目内部识别码与本招标项目的其他投标人相同的，属于《政府采购货物和服务招标投标管理办法》（财政部令第87号）第三十七条第（一）项“不同投标人的投标文件由同一单位或者个人编制”的情形。</w:t>
      </w:r>
    </w:p>
    <w:p>
      <w:pPr>
        <w:pStyle w:val="null3"/>
        <w:ind w:firstLine="480"/>
        <w:jc w:val="both"/>
      </w:pPr>
      <w:r>
        <w:rPr>
          <w:rFonts w:ascii="仿宋_GB2312" w:hAnsi="仿宋_GB2312" w:cs="仿宋_GB2312" w:eastAsia="仿宋_GB2312"/>
          <w:sz w:val="24"/>
        </w:rPr>
        <w:t>2.系统记录的编制电子投标文件使用的计算机或上传电子投标文件使用的计算机网卡MAC地址与本招标项目的其他投标人一致的，属于《政府采购货物和服务招标投标管理办法》（财政部令第87号）第三十七条第（二）项“不同投标人委托同一单位或者个人办理投标事宜”的情形。</w:t>
      </w:r>
    </w:p>
    <w:p>
      <w:pPr>
        <w:pStyle w:val="null3"/>
        <w:ind w:firstLine="480"/>
        <w:jc w:val="both"/>
      </w:pPr>
      <w:r>
        <w:rPr>
          <w:rFonts w:ascii="仿宋_GB2312" w:hAnsi="仿宋_GB2312" w:cs="仿宋_GB2312" w:eastAsia="仿宋_GB2312"/>
          <w:sz w:val="24"/>
        </w:rPr>
        <w:t>3.投标人上传的电子投标文件若出现使用本项目其他投标人的数字证书加密的或加盖本项目的其他投标人的电子印章的，属于《政府采购货物和服务招标投标管理办法》（财政部令第87号）第三十七条第（五）项“不同投标人的投标文件相互混装”的情形。</w:t>
      </w:r>
    </w:p>
    <w:p>
      <w:pPr>
        <w:pStyle w:val="null3"/>
        <w:ind w:firstLine="482"/>
        <w:jc w:val="both"/>
      </w:pPr>
      <w:r>
        <w:rPr>
          <w:rFonts w:ascii="仿宋_GB2312" w:hAnsi="仿宋_GB2312" w:cs="仿宋_GB2312" w:eastAsia="仿宋_GB2312"/>
          <w:sz w:val="24"/>
          <w:b/>
        </w:rPr>
        <w:t>5、《福建省财政厅关于福建省省级政府采购货物和服务项目招标文件编制指引和实施指引的补充通知（三）》（闽财购〔2010〕28号）</w:t>
      </w:r>
    </w:p>
    <w:p>
      <w:pPr>
        <w:pStyle w:val="null3"/>
        <w:ind w:firstLine="480"/>
        <w:jc w:val="both"/>
      </w:pPr>
      <w:r>
        <w:rPr>
          <w:rFonts w:ascii="仿宋_GB2312" w:hAnsi="仿宋_GB2312" w:cs="仿宋_GB2312" w:eastAsia="仿宋_GB2312"/>
          <w:sz w:val="24"/>
        </w:rPr>
        <w:t>评标委员会在评标过程中发现投标人存在下列情形之一的，可认定其有串通投标行为，并做出其投标无效的决定：</w:t>
      </w:r>
    </w:p>
    <w:p>
      <w:pPr>
        <w:pStyle w:val="null3"/>
        <w:ind w:firstLine="480"/>
        <w:jc w:val="both"/>
      </w:pPr>
      <w:r>
        <w:rPr>
          <w:rFonts w:ascii="仿宋_GB2312" w:hAnsi="仿宋_GB2312" w:cs="仿宋_GB2312" w:eastAsia="仿宋_GB2312"/>
          <w:sz w:val="24"/>
        </w:rPr>
        <w:t>（一）不同投标人的投标文件错、漏之处一致或雷同，且不能合理解释的；</w:t>
      </w:r>
    </w:p>
    <w:p>
      <w:pPr>
        <w:pStyle w:val="null3"/>
        <w:ind w:firstLine="480"/>
        <w:jc w:val="both"/>
      </w:pPr>
      <w:r>
        <w:rPr>
          <w:rFonts w:ascii="仿宋_GB2312" w:hAnsi="仿宋_GB2312" w:cs="仿宋_GB2312" w:eastAsia="仿宋_GB2312"/>
          <w:sz w:val="24"/>
        </w:rPr>
        <w:t>（二）不同的投标人的法定代表人、委托代理人等由同一个单位缴纳社会保险的；</w:t>
      </w:r>
    </w:p>
    <w:p>
      <w:pPr>
        <w:pStyle w:val="null3"/>
        <w:ind w:firstLine="480"/>
        <w:jc w:val="both"/>
      </w:pPr>
      <w:r>
        <w:rPr>
          <w:rFonts w:ascii="仿宋_GB2312" w:hAnsi="仿宋_GB2312" w:cs="仿宋_GB2312" w:eastAsia="仿宋_GB2312"/>
          <w:sz w:val="24"/>
        </w:rPr>
        <w:t>（三）由同一人或分别由几个有利害关系人携带两个以上（含两个）投标人的企业资料参与资格审查、领取招标资料，或代表两个以上（含两个）投标人参加招标答疑会、交纳或退还投标保证金、开标的；</w:t>
      </w:r>
    </w:p>
    <w:p>
      <w:pPr>
        <w:pStyle w:val="null3"/>
        <w:ind w:firstLine="480"/>
        <w:jc w:val="both"/>
      </w:pPr>
      <w:r>
        <w:rPr>
          <w:rFonts w:ascii="仿宋_GB2312" w:hAnsi="仿宋_GB2312" w:cs="仿宋_GB2312" w:eastAsia="仿宋_GB2312"/>
          <w:sz w:val="24"/>
        </w:rPr>
        <w:t>（四）有关法律、法规或规章规定的其他串通投标行为。</w:t>
      </w:r>
    </w:p>
    <w:p>
      <w:pPr>
        <w:pStyle w:val="null3"/>
        <w:ind w:firstLine="482"/>
        <w:jc w:val="both"/>
      </w:pPr>
      <w:r>
        <w:rPr>
          <w:rFonts w:ascii="仿宋_GB2312" w:hAnsi="仿宋_GB2312" w:cs="仿宋_GB2312" w:eastAsia="仿宋_GB2312"/>
          <w:sz w:val="24"/>
          <w:b/>
        </w:rPr>
        <w:t>二、后果</w:t>
      </w:r>
    </w:p>
    <w:p>
      <w:pPr>
        <w:pStyle w:val="null3"/>
        <w:ind w:firstLine="482"/>
        <w:jc w:val="both"/>
      </w:pPr>
      <w:r>
        <w:rPr>
          <w:rFonts w:ascii="仿宋_GB2312" w:hAnsi="仿宋_GB2312" w:cs="仿宋_GB2312" w:eastAsia="仿宋_GB2312"/>
          <w:sz w:val="24"/>
          <w:b/>
        </w:rPr>
        <w:t>1、《政府采购法》第七十七条</w:t>
      </w:r>
      <w:r>
        <w:rPr>
          <w:rFonts w:ascii="仿宋_GB2312" w:hAnsi="仿宋_GB2312" w:cs="仿宋_GB2312" w:eastAsia="仿宋_GB2312"/>
          <w:sz w:val="24"/>
        </w:rPr>
        <w:t>：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null3"/>
        <w:ind w:firstLine="480"/>
        <w:jc w:val="both"/>
      </w:pPr>
      <w:r>
        <w:rPr>
          <w:rFonts w:ascii="仿宋_GB2312" w:hAnsi="仿宋_GB2312" w:cs="仿宋_GB2312" w:eastAsia="仿宋_GB2312"/>
          <w:sz w:val="24"/>
        </w:rPr>
        <w:t>（三）与采购人、其他供应商或者采购代理机构恶意串通的；</w:t>
      </w:r>
    </w:p>
    <w:p>
      <w:pPr>
        <w:pStyle w:val="null3"/>
        <w:ind w:firstLine="480"/>
        <w:jc w:val="both"/>
      </w:pPr>
      <w:r>
        <w:rPr>
          <w:rFonts w:ascii="仿宋_GB2312" w:hAnsi="仿宋_GB2312" w:cs="仿宋_GB2312" w:eastAsia="仿宋_GB2312"/>
          <w:sz w:val="24"/>
        </w:rPr>
        <w:t>供应商有前款第（一）至（五）项情形之一的，中标、成交无效。</w:t>
      </w:r>
    </w:p>
    <w:p>
      <w:pPr>
        <w:pStyle w:val="null3"/>
        <w:ind w:firstLine="482"/>
        <w:jc w:val="both"/>
      </w:pPr>
      <w:r>
        <w:rPr>
          <w:rFonts w:ascii="仿宋_GB2312" w:hAnsi="仿宋_GB2312" w:cs="仿宋_GB2312" w:eastAsia="仿宋_GB2312"/>
          <w:sz w:val="24"/>
          <w:b/>
        </w:rPr>
        <w:t>2、《福建省财政厅关于电子化政府采购项目中视为串标情形认定与处理的指导意见》（闽财购〔2018〕30号）</w:t>
      </w:r>
    </w:p>
    <w:p>
      <w:pPr>
        <w:pStyle w:val="null3"/>
        <w:ind w:firstLine="480"/>
        <w:jc w:val="both"/>
      </w:pPr>
      <w:r>
        <w:rPr>
          <w:rFonts w:ascii="仿宋_GB2312" w:hAnsi="仿宋_GB2312" w:cs="仿宋_GB2312" w:eastAsia="仿宋_GB2312"/>
          <w:sz w:val="24"/>
        </w:rPr>
        <w:t>在开标过程中，发现投标（响应）人有上述情形的，采购人、采购代理机构应当根据采购文件认定串通行为，认定其投标（响应）无效，没收其保证金，并书面报告本级财政部门；在评审过程中发现投标（响应）人有上述情形的，资格审查小组或评标委员会（谈判小组、磋商小组、询价小组）应当根据采购文件认定串通行为，认定其投标（响应）无效，没收其保证金，并书面报告本级财政部门。</w:t>
      </w:r>
    </w:p>
    <w:p>
      <w:pPr>
        <w:pStyle w:val="null3"/>
        <w:ind w:firstLine="482"/>
        <w:jc w:val="both"/>
      </w:pPr>
      <w:r>
        <w:rPr>
          <w:rFonts w:ascii="仿宋_GB2312" w:hAnsi="仿宋_GB2312" w:cs="仿宋_GB2312" w:eastAsia="仿宋_GB2312"/>
          <w:sz w:val="24"/>
          <w:b/>
        </w:rPr>
        <w:t>三、虚假应标风险提示</w:t>
      </w:r>
    </w:p>
    <w:p>
      <w:pPr>
        <w:pStyle w:val="null3"/>
        <w:ind w:firstLine="480"/>
        <w:jc w:val="both"/>
      </w:pPr>
      <w:r>
        <w:rPr>
          <w:rFonts w:ascii="仿宋_GB2312" w:hAnsi="仿宋_GB2312" w:cs="仿宋_GB2312" w:eastAsia="仿宋_GB2312"/>
          <w:sz w:val="24"/>
        </w:rPr>
        <w:t>政府采购法第七十七条规定：</w:t>
      </w:r>
      <w:r>
        <w:rPr>
          <w:rFonts w:ascii="仿宋_GB2312" w:hAnsi="仿宋_GB2312" w:cs="仿宋_GB2312" w:eastAsia="仿宋_GB2312"/>
          <w:sz w:val="24"/>
        </w:rPr>
        <w:t>“供 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中标、成交的”。监管部门将严格按照上述法律规定，加强对“提供虚假材料谋取中标的违法行为”的执法力度。相关行政处罚案件，供 应商可登陆中国政府采购网的“政府采购严重违法失信行为记录名单”查询，望引以为戒。</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 2、其他： 2.1 本项目支持投标人办理政府采购合同融资（即政采贷），具体相关政策详见《关于促进中小企业政府采购合同融资健康开展的通知》（闽财购函〔2019〕16 号）和《关于印发&lt;福建省支持中小企业政府采购合同融资暂行办法&gt;的通知（闽财购〔2018〕7 号）。办理渠道及政策查询网址： http://120.35.30.176/zcdproject/home/。 2.2 关于开标： （1）本项目采用“远程开标”，投标人可到开标现场，也可不到开标现场，由投标人自行决定。 （2）投标人不到开标现场的，请在福建省政府采购网厦门分网“服务专区/下载专区/资料下载”中，下载《远程开标操作手册》，在开标时自行登录采购系统，线上观看开标过程，并按要求在开标时段对投标文件进行远程解密、远程签章。 （3）投标人应确保自身设施、设备、网络状况良好，提前了解熟悉远程开标流程，因投标人自身原因造成无法正常观看开标过程、远程解密或签章的，后果由投标人自行承担。 （4）在规定的时间内正确提交电子投标文件的投标人在开标时将由系统判断签到情况，具体信息以福建省政府采购网上公开信息系统所示为准。 （5）投标人应在远程解密开启后在规定时间（30分钟）内使用CA数字证书（应与投标文件加密时所用CA证书一致）进行投标文件的解密操作，逾期未解密的视为放弃投标。 （6）唱标结束后，投标人可对开标结果进行签章，并在远程签章开放后5分钟内完成，逾期未签章的视同认可开标结果。 （7）开、评标期间，投标人应随时关注系统，以便随时接收并答复评标委员会在系统中发起的澄清等事项。 （8）在操作过程中如有疑问请咨询技术人员（400-1612-666、0592-2858142）或采购代 理机构工作人员。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 法律效力。</w:t>
      </w:r>
    </w:p>
    <w:p>
      <w:pPr>
        <w:pStyle w:val="null3"/>
        <w:jc w:val="left"/>
        <w:outlineLvl w:val="2"/>
      </w:pPr>
      <w:r>
        <w:rPr>
          <w:rFonts w:ascii="仿宋_GB2312" w:hAnsi="仿宋_GB2312" w:cs="仿宋_GB2312" w:eastAsia="仿宋_GB2312"/>
          <w:sz w:val="28"/>
          <w:b/>
        </w:rPr>
        <w:t>8.合同融资支付约定</w:t>
      </w:r>
    </w:p>
    <w:p>
      <w:pPr>
        <w:pStyle w:val="null3"/>
        <w:jc w:val="left"/>
      </w:pPr>
      <w:r>
        <w:rPr>
          <w:rFonts w:ascii="仿宋_GB2312" w:hAnsi="仿宋_GB2312" w:cs="仿宋_GB2312" w:eastAsia="仿宋_GB2312"/>
          <w:b/>
        </w:rPr>
        <w:t>8.1本合同已用于政府采购合同融资，为本项目提供合同融资的金融机构为：______，本合同项下所有款项，甲方须支付至本合同约定的乙方账号，未经_______书面同意，不得变更账号。</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[350201]HC[GK]2025031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厦门市卫生健康委员会(厦门市医用设备集中采购工作专班)发药机统招分签采购项目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1(发药机)</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发药机</w:t>
            </w:r>
          </w:p>
        </w:tc>
        <w:tc>
          <w:tcPr>
            <w:tcW w:type="dxa" w:w="1661"/>
          </w:tcPr>
          <w:p>
            <w:pPr>
              <w:pStyle w:val="null3"/>
              <w:jc w:val="left"/>
            </w:pPr>
            <w:r>
              <w:rPr>
                <w:rFonts w:ascii="仿宋_GB2312" w:hAnsi="仿宋_GB2312" w:cs="仿宋_GB2312" w:eastAsia="仿宋_GB2312"/>
              </w:rPr>
              <w:t xml:space="preserve"> 4000000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{请选择汇总数据}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[350201]HC[GK]2025031</w:t>
      </w:r>
    </w:p>
    <w:p>
      <w:pPr>
        <w:pStyle w:val="null3"/>
        <w:jc w:val="left"/>
      </w:pPr>
      <w:r>
        <w:rPr>
          <w:rFonts w:ascii="仿宋_GB2312" w:hAnsi="仿宋_GB2312" w:cs="仿宋_GB2312" w:eastAsia="仿宋_GB2312"/>
        </w:rPr>
        <w:t>项目名称：</w:t>
      </w:r>
      <w:r>
        <w:rPr>
          <w:rFonts w:ascii="仿宋_GB2312" w:hAnsi="仿宋_GB2312" w:cs="仿宋_GB2312" w:eastAsia="仿宋_GB2312"/>
        </w:rPr>
        <w:t>厦门市卫生健康委员会(厦门市医用设备集中采购工作专班)发药机统招分签采购项目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发药机</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发药机</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发药机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4000000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[350201]HC[GK]2025031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厦门市卫生健康委员会(厦门市医用设备集中采购工作专班)发药机统招分签采购项目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2(门诊自动发药机)</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门诊自动发药机</w:t>
            </w:r>
          </w:p>
        </w:tc>
        <w:tc>
          <w:tcPr>
            <w:tcW w:type="dxa" w:w="1661"/>
          </w:tcPr>
          <w:p>
            <w:pPr>
              <w:pStyle w:val="null3"/>
              <w:jc w:val="left"/>
            </w:pPr>
            <w:r>
              <w:rPr>
                <w:rFonts w:ascii="仿宋_GB2312" w:hAnsi="仿宋_GB2312" w:cs="仿宋_GB2312" w:eastAsia="仿宋_GB2312"/>
              </w:rPr>
              <w:t xml:space="preserve"> 4000000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[350201]HC[GK]2025031</w:t>
      </w:r>
    </w:p>
    <w:p>
      <w:pPr>
        <w:pStyle w:val="null3"/>
        <w:jc w:val="left"/>
      </w:pPr>
      <w:r>
        <w:rPr>
          <w:rFonts w:ascii="仿宋_GB2312" w:hAnsi="仿宋_GB2312" w:cs="仿宋_GB2312" w:eastAsia="仿宋_GB2312"/>
        </w:rPr>
        <w:t>项目名称：</w:t>
      </w:r>
      <w:r>
        <w:rPr>
          <w:rFonts w:ascii="仿宋_GB2312" w:hAnsi="仿宋_GB2312" w:cs="仿宋_GB2312" w:eastAsia="仿宋_GB2312"/>
        </w:rPr>
        <w:t>厦门市卫生健康委员会(厦门市医用设备集中采购工作专班)发药机统招分签采购项目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门诊自动发药机</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门诊自动发药机</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门诊自动发药机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4000000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ind w:firstLine="960"/>
        <w:jc w:val="center"/>
        <w:outlineLvl w:val="3"/>
      </w:pPr>
      <w:r>
        <w:rPr>
          <w:rFonts w:ascii="仿宋_GB2312" w:hAnsi="仿宋_GB2312" w:cs="仿宋_GB2312" w:eastAsia="仿宋_GB2312"/>
          <w:sz w:val="24"/>
          <w:b/>
        </w:rPr>
        <w:t>三-1优先类节能产品、环境标志产品价格扣除证明材料（若有）</w:t>
      </w:r>
    </w:p>
    <w:p>
      <w:pPr>
        <w:pStyle w:val="null3"/>
        <w:ind w:firstLine="960"/>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3322"/>
        <w:gridCol w:w="1661"/>
      </w:tblGrid>
      <w:tr>
        <w:tc>
          <w:tcPr>
            <w:tcW w:type="dxa" w:w="1661"/>
          </w:tcPr>
          <w:p/>
        </w:tc>
        <w:tc>
          <w:tcPr>
            <w:tcW w:type="dxa" w:w="6644"/>
            <w:gridSpan w:val="3"/>
          </w:tcPr>
          <w:p>
            <w:pPr>
              <w:pStyle w:val="null3"/>
              <w:jc w:val="center"/>
            </w:pPr>
            <w:r>
              <w:rPr>
                <w:rFonts w:ascii="仿宋_GB2312" w:hAnsi="仿宋_GB2312" w:cs="仿宋_GB2312" w:eastAsia="仿宋_GB2312"/>
              </w:rPr>
              <w:t>本采购包内属于节能、环境标志产品情况</w:t>
            </w:r>
          </w:p>
        </w:tc>
      </w:tr>
      <w:tr>
        <w:tc>
          <w:tcPr>
            <w:tcW w:type="dxa" w:w="1661"/>
          </w:tcPr>
          <w:p>
            <w:pPr>
              <w:pStyle w:val="null3"/>
              <w:jc w:val="center"/>
            </w:pPr>
            <w:r>
              <w:rPr>
                <w:rFonts w:ascii="仿宋_GB2312" w:hAnsi="仿宋_GB2312" w:cs="仿宋_GB2312" w:eastAsia="仿宋_GB2312"/>
              </w:rPr>
              <w:t>采购包</w:t>
            </w:r>
          </w:p>
          <w:p>
            <w:pPr>
              <w:pStyle w:val="null3"/>
              <w:jc w:val="center"/>
            </w:pPr>
          </w:p>
        </w:tc>
        <w:tc>
          <w:tcPr>
            <w:tcW w:type="dxa" w:w="1661"/>
          </w:tcPr>
          <w:p>
            <w:pPr>
              <w:pStyle w:val="null3"/>
              <w:jc w:val="center"/>
            </w:pPr>
            <w:r>
              <w:rPr>
                <w:rFonts w:ascii="仿宋_GB2312" w:hAnsi="仿宋_GB2312" w:cs="仿宋_GB2312" w:eastAsia="仿宋_GB2312"/>
              </w:rPr>
              <w:t>品目号</w:t>
            </w:r>
          </w:p>
        </w:tc>
        <w:tc>
          <w:tcPr>
            <w:tcW w:type="dxa" w:w="3322"/>
          </w:tcPr>
          <w:p>
            <w:pPr>
              <w:pStyle w:val="null3"/>
              <w:jc w:val="center"/>
            </w:pPr>
            <w:r>
              <w:rPr>
                <w:rFonts w:ascii="仿宋_GB2312" w:hAnsi="仿宋_GB2312" w:cs="仿宋_GB2312" w:eastAsia="仿宋_GB2312"/>
              </w:rPr>
              <w:t>产品名称</w:t>
            </w:r>
          </w:p>
        </w:tc>
        <w:tc>
          <w:tcPr>
            <w:tcW w:type="dxa" w:w="1661"/>
          </w:tcPr>
          <w:p>
            <w:pPr>
              <w:pStyle w:val="null3"/>
              <w:jc w:val="center"/>
            </w:pPr>
            <w:r>
              <w:rPr>
                <w:rFonts w:ascii="仿宋_GB2312" w:hAnsi="仿宋_GB2312" w:cs="仿宋_GB2312" w:eastAsia="仿宋_GB2312"/>
              </w:rPr>
              <w:t>认证种类</w:t>
            </w:r>
          </w:p>
        </w:tc>
      </w:tr>
      <w:tr>
        <w:tc>
          <w:tcPr>
            <w:tcW w:type="dxa" w:w="1661"/>
            <w:vMerge w:val="restart"/>
          </w:tcPr>
          <w:p>
            <w:pPr>
              <w:pStyle w:val="null3"/>
              <w:jc w:val="center"/>
            </w:pPr>
            <w:r>
              <w:rPr>
                <w:rFonts w:ascii="仿宋_GB2312" w:hAnsi="仿宋_GB2312" w:cs="仿宋_GB2312" w:eastAsia="仿宋_GB2312"/>
              </w:rPr>
              <w:t>*</w:t>
            </w:r>
          </w:p>
        </w:tc>
        <w:tc>
          <w:tcPr>
            <w:tcW w:type="dxa" w:w="1661"/>
          </w:tcPr>
          <w:p>
            <w:pPr>
              <w:pStyle w:val="null3"/>
              <w:jc w:val="center"/>
            </w:pPr>
            <w:r>
              <w:rPr>
                <w:rFonts w:ascii="仿宋_GB2312" w:hAnsi="仿宋_GB2312" w:cs="仿宋_GB2312" w:eastAsia="仿宋_GB2312"/>
              </w:rPr>
              <w:t>*-1</w:t>
            </w:r>
          </w:p>
        </w:tc>
        <w:tc>
          <w:tcPr>
            <w:tcW w:type="dxa" w:w="3322"/>
          </w:tcPr>
          <w:p>
            <w:pPr>
              <w:pStyle w:val="null3"/>
              <w:jc w:val="left"/>
            </w:pPr>
          </w:p>
        </w:tc>
        <w:tc>
          <w:tcPr>
            <w:tcW w:type="dxa" w:w="1661"/>
          </w:tcPr>
          <w:p>
            <w:pPr>
              <w:pStyle w:val="null3"/>
              <w:jc w:val="left"/>
            </w:pPr>
            <w:r>
              <w:rPr>
                <w:rFonts w:ascii="仿宋_GB2312" w:hAnsi="仿宋_GB2312" w:cs="仿宋_GB2312" w:eastAsia="仿宋_GB2312"/>
              </w:rPr>
              <w:t>供应商自行填写种类，并上传证明附件以便评审查看</w:t>
            </w:r>
          </w:p>
        </w:tc>
      </w:tr>
      <w:tr>
        <w:tc>
          <w:tcPr>
            <w:tcW w:type="dxa" w:w="1661"/>
            <w:vMerge/>
          </w:tcPr>
          <w:p/>
        </w:tc>
        <w:tc>
          <w:tcPr>
            <w:tcW w:type="dxa" w:w="1661"/>
          </w:tcPr>
          <w:p>
            <w:pPr>
              <w:pStyle w:val="null3"/>
              <w:jc w:val="center"/>
            </w:pPr>
            <w:r>
              <w:rPr>
                <w:rFonts w:ascii="仿宋_GB2312" w:hAnsi="仿宋_GB2312" w:cs="仿宋_GB2312" w:eastAsia="仿宋_GB2312"/>
              </w:rPr>
              <w:t>...</w:t>
            </w:r>
          </w:p>
        </w:tc>
        <w:tc>
          <w:tcPr>
            <w:tcW w:type="dxa" w:w="3322"/>
          </w:tcPr>
          <w:p>
            <w:pPr>
              <w:pStyle w:val="null3"/>
              <w:jc w:val="left"/>
            </w:pPr>
          </w:p>
        </w:tc>
        <w:tc>
          <w:tcPr>
            <w:tcW w:type="dxa" w:w="1661"/>
          </w:tcPr>
          <w:p/>
        </w:tc>
      </w:tr>
      <w:tr>
        <w:tc>
          <w:tcPr>
            <w:tcW w:type="dxa" w:w="1661"/>
          </w:tcPr>
          <w:p>
            <w:pPr>
              <w:pStyle w:val="null3"/>
              <w:jc w:val="center"/>
            </w:pPr>
            <w:r>
              <w:rPr>
                <w:rFonts w:ascii="仿宋_GB2312" w:hAnsi="仿宋_GB2312" w:cs="仿宋_GB2312" w:eastAsia="仿宋_GB2312"/>
              </w:rPr>
              <w:t>备注</w:t>
            </w:r>
          </w:p>
        </w:tc>
        <w:tc>
          <w:tcPr>
            <w:tcW w:type="dxa" w:w="6644"/>
            <w:gridSpan w:val="3"/>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3.1同一品目中各认证证书不重复计算价格扣除。强制类节能产品不享受价格扣除。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三-1-②优先类节能产品、环境标志产品证明材料（价格扣除适用，若有）</w:t>
      </w:r>
    </w:p>
    <w:p>
      <w:pPr>
        <w:pStyle w:val="null3"/>
        <w:ind w:firstLine="960"/>
        <w:jc w:val="center"/>
        <w:outlineLvl w:val="3"/>
      </w:pPr>
      <w:r>
        <w:rPr>
          <w:rFonts w:ascii="仿宋_GB2312" w:hAnsi="仿宋_GB2312" w:cs="仿宋_GB2312" w:eastAsia="仿宋_GB2312"/>
          <w:sz w:val="24"/>
          <w:b/>
        </w:rPr>
        <w:t>三-2小型、微型企业产品等价格扣除证明材料（若有）</w:t>
      </w:r>
    </w:p>
    <w:p>
      <w:pPr>
        <w:pStyle w:val="null3"/>
        <w:ind w:firstLine="960"/>
        <w:jc w:val="center"/>
        <w:outlineLvl w:val="3"/>
      </w:pPr>
      <w:r>
        <w:rPr>
          <w:rFonts w:ascii="仿宋_GB2312" w:hAnsi="仿宋_GB2312" w:cs="仿宋_GB2312" w:eastAsia="仿宋_GB2312"/>
          <w:sz w:val="24"/>
          <w:b/>
        </w:rPr>
        <w:t>三-2-①中小企业声明函（价格扣除适用，若有）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